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828C" w14:textId="77777777" w:rsidR="00905156" w:rsidRPr="008C102D" w:rsidRDefault="00905156" w:rsidP="00905156">
      <w:pPr>
        <w:spacing w:after="0" w:line="240" w:lineRule="auto"/>
        <w:rPr>
          <w:rFonts w:ascii="Times New Roman" w:eastAsia="Times New Roman" w:hAnsi="Times New Roman" w:cs="Times New Roman"/>
          <w:bCs/>
          <w:sz w:val="24"/>
          <w:szCs w:val="24"/>
          <w:vertAlign w:val="superscript"/>
        </w:rPr>
      </w:pPr>
      <w:r w:rsidRPr="008C102D">
        <w:rPr>
          <w:rFonts w:ascii="Times New Roman" w:eastAsia="Times New Roman" w:hAnsi="Times New Roman" w:cs="Times New Roman"/>
          <w:bCs/>
          <w:noProof/>
          <w:sz w:val="24"/>
          <w:szCs w:val="24"/>
          <w:vertAlign w:val="superscript"/>
        </w:rPr>
        <w:drawing>
          <wp:anchor distT="0" distB="0" distL="114300" distR="114300" simplePos="0" relativeHeight="251658240" behindDoc="0" locked="0" layoutInCell="1" allowOverlap="1" wp14:anchorId="441D8678" wp14:editId="3BBC81C9">
            <wp:simplePos x="0" y="0"/>
            <wp:positionH relativeFrom="margin">
              <wp:align>left</wp:align>
            </wp:positionH>
            <wp:positionV relativeFrom="paragraph">
              <wp:posOffset>0</wp:posOffset>
            </wp:positionV>
            <wp:extent cx="2857500" cy="828675"/>
            <wp:effectExtent l="0" t="0" r="0" b="9525"/>
            <wp:wrapSquare wrapText="bothSides"/>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5" cstate="print"/>
                    <a:srcRect/>
                    <a:stretch>
                      <a:fillRect/>
                    </a:stretch>
                  </pic:blipFill>
                  <pic:spPr bwMode="auto">
                    <a:xfrm>
                      <a:off x="0" y="0"/>
                      <a:ext cx="2857500" cy="828675"/>
                    </a:xfrm>
                    <a:prstGeom prst="rect">
                      <a:avLst/>
                    </a:prstGeom>
                    <a:noFill/>
                  </pic:spPr>
                </pic:pic>
              </a:graphicData>
            </a:graphic>
          </wp:anchor>
        </w:drawing>
      </w:r>
    </w:p>
    <w:p w14:paraId="650EDD3E" w14:textId="77777777" w:rsidR="00905156" w:rsidRPr="008C102D" w:rsidRDefault="00905156" w:rsidP="00905156">
      <w:pPr>
        <w:tabs>
          <w:tab w:val="right" w:pos="9360"/>
        </w:tabs>
        <w:spacing w:after="0" w:line="240" w:lineRule="auto"/>
        <w:rPr>
          <w:rFonts w:ascii="Times New Roman" w:eastAsia="Times New Roman" w:hAnsi="Times New Roman" w:cs="Times New Roman"/>
          <w:sz w:val="24"/>
          <w:szCs w:val="24"/>
        </w:rPr>
      </w:pPr>
    </w:p>
    <w:p w14:paraId="064A900F" w14:textId="77777777" w:rsidR="00905156" w:rsidRPr="008C102D" w:rsidRDefault="00905156" w:rsidP="00905156">
      <w:pPr>
        <w:tabs>
          <w:tab w:val="right" w:pos="9360"/>
        </w:tabs>
        <w:spacing w:after="0" w:line="240" w:lineRule="auto"/>
        <w:rPr>
          <w:rFonts w:ascii="Times New Roman" w:eastAsia="Times New Roman" w:hAnsi="Times New Roman" w:cs="Times New Roman"/>
          <w:sz w:val="24"/>
          <w:szCs w:val="24"/>
        </w:rPr>
      </w:pPr>
    </w:p>
    <w:p w14:paraId="75853E94" w14:textId="77777777" w:rsidR="00905156" w:rsidRPr="008C102D" w:rsidRDefault="00905156" w:rsidP="00905156">
      <w:pPr>
        <w:tabs>
          <w:tab w:val="right" w:pos="9360"/>
        </w:tabs>
        <w:spacing w:after="0" w:line="240" w:lineRule="auto"/>
        <w:rPr>
          <w:rFonts w:ascii="Times New Roman" w:eastAsia="Times New Roman" w:hAnsi="Times New Roman" w:cs="Times New Roman"/>
          <w:sz w:val="24"/>
          <w:szCs w:val="24"/>
        </w:rPr>
      </w:pPr>
    </w:p>
    <w:p w14:paraId="13BE9746" w14:textId="77777777" w:rsidR="00905156" w:rsidRPr="008C102D" w:rsidRDefault="00905156" w:rsidP="00905156">
      <w:pPr>
        <w:tabs>
          <w:tab w:val="right" w:pos="9360"/>
        </w:tabs>
        <w:spacing w:after="0" w:line="240" w:lineRule="auto"/>
        <w:rPr>
          <w:rFonts w:ascii="Times New Roman" w:eastAsia="Times New Roman" w:hAnsi="Times New Roman" w:cs="Times New Roman"/>
          <w:sz w:val="24"/>
          <w:szCs w:val="24"/>
        </w:rPr>
      </w:pPr>
    </w:p>
    <w:p w14:paraId="11BE144D" w14:textId="77777777" w:rsidR="00905156" w:rsidRPr="00A86E95" w:rsidRDefault="00905156" w:rsidP="00905156">
      <w:pPr>
        <w:tabs>
          <w:tab w:val="right" w:pos="9360"/>
        </w:tabs>
        <w:spacing w:after="0" w:line="240" w:lineRule="auto"/>
        <w:rPr>
          <w:rFonts w:eastAsia="Times New Roman" w:cstheme="minorHAnsi"/>
          <w:sz w:val="24"/>
          <w:szCs w:val="24"/>
        </w:rPr>
      </w:pPr>
      <w:r w:rsidRPr="00A86E95">
        <w:rPr>
          <w:rFonts w:eastAsia="Times New Roman" w:cstheme="minorHAnsi"/>
          <w:sz w:val="24"/>
          <w:szCs w:val="24"/>
        </w:rPr>
        <w:t xml:space="preserve">FOR IMMEDIATE RELEASE                           </w:t>
      </w:r>
    </w:p>
    <w:p w14:paraId="05430CAC" w14:textId="77777777" w:rsidR="00905156" w:rsidRDefault="00905156" w:rsidP="00905156">
      <w:pPr>
        <w:rPr>
          <w:b/>
          <w:bCs/>
        </w:rPr>
      </w:pPr>
    </w:p>
    <w:p w14:paraId="6B3F77C2" w14:textId="52BE5E2C" w:rsidR="007B44EF" w:rsidRDefault="007B44EF" w:rsidP="00905156">
      <w:pPr>
        <w:jc w:val="center"/>
        <w:rPr>
          <w:b/>
          <w:bCs/>
          <w:sz w:val="24"/>
          <w:szCs w:val="24"/>
        </w:rPr>
      </w:pPr>
      <w:r w:rsidRPr="00905156">
        <w:rPr>
          <w:b/>
          <w:bCs/>
          <w:sz w:val="24"/>
          <w:szCs w:val="24"/>
        </w:rPr>
        <w:t xml:space="preserve">NACHC and Leon Lowenstein Foundation </w:t>
      </w:r>
      <w:r w:rsidR="00D502A5">
        <w:rPr>
          <w:b/>
          <w:bCs/>
          <w:sz w:val="24"/>
          <w:szCs w:val="24"/>
        </w:rPr>
        <w:t>Join Force</w:t>
      </w:r>
      <w:r w:rsidR="0017476F">
        <w:rPr>
          <w:b/>
          <w:bCs/>
          <w:sz w:val="24"/>
          <w:szCs w:val="24"/>
        </w:rPr>
        <w:t>s</w:t>
      </w:r>
      <w:r w:rsidR="00D502A5">
        <w:rPr>
          <w:b/>
          <w:bCs/>
          <w:sz w:val="24"/>
          <w:szCs w:val="24"/>
        </w:rPr>
        <w:t xml:space="preserve"> </w:t>
      </w:r>
      <w:r w:rsidR="00491FC9" w:rsidRPr="00905156">
        <w:rPr>
          <w:b/>
          <w:bCs/>
          <w:sz w:val="24"/>
          <w:szCs w:val="24"/>
        </w:rPr>
        <w:t xml:space="preserve">to Support </w:t>
      </w:r>
      <w:r w:rsidR="00D502A5">
        <w:rPr>
          <w:b/>
          <w:bCs/>
          <w:sz w:val="24"/>
          <w:szCs w:val="24"/>
        </w:rPr>
        <w:t xml:space="preserve">Health Care on Wheels </w:t>
      </w:r>
    </w:p>
    <w:p w14:paraId="1ACD58CC" w14:textId="77777777" w:rsidR="00AD19D4" w:rsidRPr="00905156" w:rsidRDefault="00AD19D4" w:rsidP="00905156">
      <w:pPr>
        <w:jc w:val="center"/>
        <w:rPr>
          <w:b/>
          <w:bCs/>
          <w:sz w:val="24"/>
          <w:szCs w:val="24"/>
        </w:rPr>
      </w:pPr>
    </w:p>
    <w:p w14:paraId="0E632E65" w14:textId="27248301" w:rsidR="00ED5B45" w:rsidRDefault="00D502A5">
      <w:r>
        <w:t xml:space="preserve">Bethesda, MD_ </w:t>
      </w:r>
      <w:r w:rsidR="00ED5B45" w:rsidRPr="0060635E">
        <w:t>NACHC</w:t>
      </w:r>
      <w:r w:rsidR="006F086F">
        <w:t xml:space="preserve"> is proud to announce t</w:t>
      </w:r>
      <w:r w:rsidR="003C61C9">
        <w:t>he</w:t>
      </w:r>
      <w:r w:rsidR="00ED5B45" w:rsidRPr="0060635E">
        <w:t xml:space="preserve"> Primary Care Association (PCA)</w:t>
      </w:r>
      <w:r w:rsidR="006F086F">
        <w:t xml:space="preserve"> awar</w:t>
      </w:r>
      <w:r w:rsidR="003C61C9">
        <w:t xml:space="preserve">dees </w:t>
      </w:r>
      <w:r>
        <w:t xml:space="preserve">who will </w:t>
      </w:r>
      <w:r w:rsidR="003C61C9">
        <w:t>receive funding</w:t>
      </w:r>
      <w:r>
        <w:t xml:space="preserve"> to boost mobile health clinics in their states.  </w:t>
      </w:r>
      <w:r w:rsidR="003A736F">
        <w:t>T</w:t>
      </w:r>
      <w:r>
        <w:t xml:space="preserve">he </w:t>
      </w:r>
      <w:r w:rsidR="00ED5B45" w:rsidRPr="0060635E">
        <w:t>“S</w:t>
      </w:r>
      <w:r w:rsidR="00ED5B45" w:rsidRPr="0060635E">
        <w:rPr>
          <w:i/>
          <w:iCs/>
        </w:rPr>
        <w:t>tate-level Mobile Unit Capacity Building</w:t>
      </w:r>
      <w:r w:rsidR="00ED5B45" w:rsidRPr="0060635E">
        <w:t>” grant</w:t>
      </w:r>
      <w:r w:rsidR="003C61C9">
        <w:t xml:space="preserve"> from the Leon Lowenstein Foundation</w:t>
      </w:r>
      <w:r>
        <w:t xml:space="preserve"> will</w:t>
      </w:r>
      <w:r w:rsidR="00ED5B45" w:rsidRPr="0060635E">
        <w:t xml:space="preserve"> improve the sustainability and operational effectiveness of mobile units at Community Health Centers</w:t>
      </w:r>
      <w:r>
        <w:t xml:space="preserve"> around the country.</w:t>
      </w:r>
    </w:p>
    <w:p w14:paraId="6107B2DE" w14:textId="7F65D406" w:rsidR="003C61C9" w:rsidRDefault="00ED5B45" w:rsidP="00ED5B45">
      <w:r>
        <w:t xml:space="preserve">“For those who are unhoused, young people, those in active addiction, people in rural and urban areas alike, and many others in disenfranchised communities, mobile healthcare delivery is an essential service that increases access to healthcare,” said </w:t>
      </w:r>
      <w:r w:rsidRPr="00ED5B45">
        <w:t xml:space="preserve">Stewart Hudson, </w:t>
      </w:r>
      <w:r>
        <w:t>e</w:t>
      </w:r>
      <w:r w:rsidRPr="00ED5B45">
        <w:t xml:space="preserve">xecutive </w:t>
      </w:r>
      <w:r>
        <w:t>d</w:t>
      </w:r>
      <w:r w:rsidRPr="00ED5B45">
        <w:t>irector</w:t>
      </w:r>
      <w:r>
        <w:t xml:space="preserve"> of the </w:t>
      </w:r>
      <w:r w:rsidRPr="00ED5B45">
        <w:t>Leon Lowenstein Foundation</w:t>
      </w:r>
      <w:r>
        <w:t>. “The Leon Lowenstein Foundation continues to be an engaged partner and funder to support the National Association of Community Health Centers (NACHC) in their efforts to build capacity for mobile units at health centers. These units are an important part of the work toward health equity in the US.”</w:t>
      </w:r>
    </w:p>
    <w:p w14:paraId="1989D71E" w14:textId="2CDD5475" w:rsidR="0060635E" w:rsidRPr="0060635E" w:rsidRDefault="003C61C9" w:rsidP="0060635E">
      <w:r>
        <w:t>M</w:t>
      </w:r>
      <w:r w:rsidRPr="0060635E">
        <w:t xml:space="preserve">obile units at health centers </w:t>
      </w:r>
      <w:r>
        <w:t>have increased drastically over several years</w:t>
      </w:r>
      <w:r w:rsidRPr="0060635E">
        <w:t xml:space="preserve"> </w:t>
      </w:r>
      <w:r>
        <w:t>with</w:t>
      </w:r>
      <w:r w:rsidRPr="0060635E">
        <w:t xml:space="preserve"> </w:t>
      </w:r>
      <w:r>
        <w:t>m</w:t>
      </w:r>
      <w:r w:rsidRPr="0060635E">
        <w:t xml:space="preserve">ore growth </w:t>
      </w:r>
      <w:r>
        <w:t>to be expected following</w:t>
      </w:r>
      <w:r w:rsidRPr="0060635E">
        <w:t xml:space="preserve"> the changes to New Access Point (NAP) grants taking effect in January 2024.</w:t>
      </w:r>
      <w:r>
        <w:t xml:space="preserve"> The grant presents three</w:t>
      </w:r>
      <w:r w:rsidR="0060635E" w:rsidRPr="0060635E">
        <w:t xml:space="preserve"> tracks for this funding opportunity:</w:t>
      </w:r>
    </w:p>
    <w:p w14:paraId="580E4DBF" w14:textId="70FCFBC8" w:rsidR="0060635E" w:rsidRPr="0060635E" w:rsidRDefault="003C61C9" w:rsidP="003C61C9">
      <w:pPr>
        <w:pStyle w:val="ListParagraph"/>
        <w:numPr>
          <w:ilvl w:val="0"/>
          <w:numId w:val="2"/>
        </w:numPr>
      </w:pPr>
      <w:r>
        <w:t>Policy</w:t>
      </w:r>
      <w:r w:rsidR="0060635E" w:rsidRPr="0060635E">
        <w:t xml:space="preserve"> –</w:t>
      </w:r>
      <w:r w:rsidR="0060635E">
        <w:t xml:space="preserve"> </w:t>
      </w:r>
      <w:r w:rsidR="0060635E" w:rsidRPr="0060635E">
        <w:t>Support policy work at the PCA to improve the sustainability and/or operational effectiveness of mobile units at community health centers.</w:t>
      </w:r>
    </w:p>
    <w:p w14:paraId="37C98CE7" w14:textId="226AB187" w:rsidR="0060635E" w:rsidRPr="0060635E" w:rsidRDefault="0060635E" w:rsidP="0060635E">
      <w:pPr>
        <w:numPr>
          <w:ilvl w:val="0"/>
          <w:numId w:val="1"/>
        </w:numPr>
      </w:pPr>
      <w:r w:rsidRPr="0060635E">
        <w:t>T</w:t>
      </w:r>
      <w:r w:rsidR="003C61C9">
        <w:t xml:space="preserve">raining </w:t>
      </w:r>
      <w:r w:rsidR="00052C2E">
        <w:t>&amp;</w:t>
      </w:r>
      <w:r w:rsidR="003C61C9">
        <w:t xml:space="preserve"> Technical Assistance (T/TA): Mobile unit growth and development</w:t>
      </w:r>
      <w:r w:rsidRPr="0060635E">
        <w:t xml:space="preserve"> –</w:t>
      </w:r>
      <w:r>
        <w:t xml:space="preserve"> </w:t>
      </w:r>
      <w:r w:rsidRPr="0060635E">
        <w:t>Support T/TA activities at the PCA aimed at mobile unit sustainability and/or operational effectiveness.</w:t>
      </w:r>
    </w:p>
    <w:p w14:paraId="745BEE29" w14:textId="3F93D3DB" w:rsidR="0060635E" w:rsidRDefault="00052C2E" w:rsidP="0060635E">
      <w:pPr>
        <w:numPr>
          <w:ilvl w:val="0"/>
          <w:numId w:val="1"/>
        </w:numPr>
      </w:pPr>
      <w:bookmarkStart w:id="0" w:name="_Hlk132965506"/>
      <w:r w:rsidRPr="0060635E">
        <w:t xml:space="preserve">Training </w:t>
      </w:r>
      <w:r w:rsidRPr="00052C2E">
        <w:t>&amp;</w:t>
      </w:r>
      <w:r w:rsidRPr="0060635E">
        <w:t xml:space="preserve"> Technical Assistance (T/TA)</w:t>
      </w:r>
      <w:r>
        <w:t>:</w:t>
      </w:r>
      <w:r w:rsidRPr="0060635E">
        <w:t xml:space="preserve"> Emergency preparedness and mobile units</w:t>
      </w:r>
      <w:r>
        <w:t xml:space="preserve"> </w:t>
      </w:r>
      <w:bookmarkEnd w:id="0"/>
      <w:r w:rsidR="0060635E" w:rsidRPr="0060635E">
        <w:t>– Support T/TA activities at the PCA aimed at emergency preparedness and disaster response with health center mobile units.</w:t>
      </w:r>
    </w:p>
    <w:p w14:paraId="353C796E" w14:textId="649F4EE9" w:rsidR="004A250E" w:rsidRDefault="007322E6" w:rsidP="004A250E">
      <w:r>
        <w:t xml:space="preserve">Each awardee will be granted </w:t>
      </w:r>
      <w:r w:rsidRPr="007322E6">
        <w:t>$12,500 to invest in their state or region</w:t>
      </w:r>
      <w:r w:rsidR="00B803CE">
        <w:t xml:space="preserve">. </w:t>
      </w:r>
      <w:r w:rsidR="00FE1B55">
        <w:t>Here are the following PCAs awarded under each track:</w:t>
      </w:r>
      <w:r w:rsidR="00CD3AC6">
        <w:t xml:space="preserve"> </w:t>
      </w:r>
    </w:p>
    <w:p w14:paraId="64C57B7D" w14:textId="526F4DD4" w:rsidR="00FE1B55" w:rsidRPr="0060635E" w:rsidRDefault="00152FDA" w:rsidP="004A250E">
      <w:pPr>
        <w:rPr>
          <w:b/>
          <w:bCs/>
        </w:rPr>
      </w:pPr>
      <w:r w:rsidRPr="00152FDA">
        <w:rPr>
          <w:b/>
          <w:bCs/>
        </w:rPr>
        <w:t>Policy</w:t>
      </w:r>
    </w:p>
    <w:p w14:paraId="718F442D" w14:textId="6CEADA8B" w:rsidR="00152FDA" w:rsidRDefault="00852820" w:rsidP="00852820">
      <w:pPr>
        <w:pStyle w:val="ListParagraph"/>
        <w:numPr>
          <w:ilvl w:val="0"/>
          <w:numId w:val="2"/>
        </w:numPr>
      </w:pPr>
      <w:r w:rsidRPr="00852820">
        <w:t>North Carolina Community Health Center Association</w:t>
      </w:r>
    </w:p>
    <w:p w14:paraId="42AB9850" w14:textId="4AB7253F" w:rsidR="00852820" w:rsidRDefault="00852820" w:rsidP="00852820">
      <w:pPr>
        <w:rPr>
          <w:b/>
          <w:bCs/>
        </w:rPr>
      </w:pPr>
      <w:r w:rsidRPr="0060635E">
        <w:rPr>
          <w:b/>
          <w:bCs/>
        </w:rPr>
        <w:t>T</w:t>
      </w:r>
      <w:r w:rsidRPr="00852820">
        <w:rPr>
          <w:b/>
          <w:bCs/>
        </w:rPr>
        <w:t>raining &amp; Technical Assistance (T/TA): Mobile unit growth and development</w:t>
      </w:r>
    </w:p>
    <w:p w14:paraId="1F574047" w14:textId="77777777" w:rsidR="00BB463E" w:rsidRPr="00BB463E" w:rsidRDefault="00BB463E" w:rsidP="00BB463E">
      <w:pPr>
        <w:pStyle w:val="ListParagraph"/>
        <w:numPr>
          <w:ilvl w:val="0"/>
          <w:numId w:val="2"/>
        </w:numPr>
      </w:pPr>
      <w:r w:rsidRPr="00BB463E">
        <w:t>Community Healthcare Association of the Dakotas</w:t>
      </w:r>
    </w:p>
    <w:p w14:paraId="71499C70" w14:textId="77777777" w:rsidR="00BB463E" w:rsidRPr="00BB463E" w:rsidRDefault="00BB463E" w:rsidP="00BB463E">
      <w:pPr>
        <w:pStyle w:val="ListParagraph"/>
        <w:numPr>
          <w:ilvl w:val="0"/>
          <w:numId w:val="2"/>
        </w:numPr>
      </w:pPr>
      <w:r w:rsidRPr="00BB463E">
        <w:t>Community Care Network of Kansas</w:t>
      </w:r>
    </w:p>
    <w:p w14:paraId="30035AD1" w14:textId="77777777" w:rsidR="00BB463E" w:rsidRDefault="00BB463E" w:rsidP="00BB463E">
      <w:pPr>
        <w:pStyle w:val="ListParagraph"/>
        <w:numPr>
          <w:ilvl w:val="0"/>
          <w:numId w:val="2"/>
        </w:numPr>
      </w:pPr>
      <w:r w:rsidRPr="00BB463E">
        <w:lastRenderedPageBreak/>
        <w:t>Michigan Primary Care Association</w:t>
      </w:r>
    </w:p>
    <w:p w14:paraId="47AA3BC6" w14:textId="34CDE7AB" w:rsidR="00F5095E" w:rsidRPr="00BB463E" w:rsidRDefault="00F5095E" w:rsidP="00BB463E">
      <w:pPr>
        <w:pStyle w:val="ListParagraph"/>
        <w:numPr>
          <w:ilvl w:val="0"/>
          <w:numId w:val="2"/>
        </w:numPr>
      </w:pPr>
      <w:r w:rsidRPr="00F5095E">
        <w:t>Nevada Primary Care Association</w:t>
      </w:r>
    </w:p>
    <w:p w14:paraId="0BBFCD95" w14:textId="77777777" w:rsidR="00BB463E" w:rsidRPr="00BB463E" w:rsidRDefault="00BB463E" w:rsidP="00BB463E">
      <w:pPr>
        <w:pStyle w:val="ListParagraph"/>
        <w:numPr>
          <w:ilvl w:val="0"/>
          <w:numId w:val="2"/>
        </w:numPr>
      </w:pPr>
      <w:r w:rsidRPr="00BB463E">
        <w:t>Pennsylvania Association of Community Health Centers</w:t>
      </w:r>
    </w:p>
    <w:p w14:paraId="583E95CF" w14:textId="77777777" w:rsidR="00BB463E" w:rsidRPr="00BB463E" w:rsidRDefault="00BB463E" w:rsidP="00BB463E">
      <w:pPr>
        <w:pStyle w:val="ListParagraph"/>
        <w:numPr>
          <w:ilvl w:val="0"/>
          <w:numId w:val="2"/>
        </w:numPr>
      </w:pPr>
      <w:r w:rsidRPr="00BB463E">
        <w:t>Virginia Community Healthcare Association</w:t>
      </w:r>
    </w:p>
    <w:p w14:paraId="7DE76230" w14:textId="74060761" w:rsidR="00852820" w:rsidRDefault="00BB463E" w:rsidP="00BB463E">
      <w:pPr>
        <w:pStyle w:val="ListParagraph"/>
        <w:numPr>
          <w:ilvl w:val="0"/>
          <w:numId w:val="2"/>
        </w:numPr>
      </w:pPr>
      <w:r w:rsidRPr="00BB463E">
        <w:t>West Virginia Primary Care Association</w:t>
      </w:r>
    </w:p>
    <w:p w14:paraId="3EF7B10B" w14:textId="7F633685" w:rsidR="00F5095E" w:rsidRDefault="00F5095E" w:rsidP="00F5095E">
      <w:pPr>
        <w:rPr>
          <w:b/>
          <w:bCs/>
        </w:rPr>
      </w:pPr>
      <w:r w:rsidRPr="0060635E">
        <w:rPr>
          <w:b/>
          <w:bCs/>
        </w:rPr>
        <w:t xml:space="preserve">Training </w:t>
      </w:r>
      <w:r w:rsidRPr="00F5095E">
        <w:rPr>
          <w:b/>
          <w:bCs/>
        </w:rPr>
        <w:t>&amp;</w:t>
      </w:r>
      <w:r w:rsidRPr="0060635E">
        <w:rPr>
          <w:b/>
          <w:bCs/>
        </w:rPr>
        <w:t xml:space="preserve"> Technical Assistance (T/TA)</w:t>
      </w:r>
      <w:r w:rsidRPr="00F5095E">
        <w:rPr>
          <w:b/>
          <w:bCs/>
        </w:rPr>
        <w:t>:</w:t>
      </w:r>
      <w:r w:rsidRPr="0060635E">
        <w:rPr>
          <w:b/>
          <w:bCs/>
        </w:rPr>
        <w:t xml:space="preserve"> Emergency preparedness and mobile units</w:t>
      </w:r>
    </w:p>
    <w:p w14:paraId="2C0536A6" w14:textId="77777777" w:rsidR="00736700" w:rsidRPr="00736700" w:rsidRDefault="00736700" w:rsidP="00736700">
      <w:pPr>
        <w:pStyle w:val="ListParagraph"/>
        <w:numPr>
          <w:ilvl w:val="0"/>
          <w:numId w:val="5"/>
        </w:numPr>
      </w:pPr>
      <w:r w:rsidRPr="00736700">
        <w:t>Colorado Community Health Network</w:t>
      </w:r>
    </w:p>
    <w:p w14:paraId="1E9A5BB1" w14:textId="5F0E51EC" w:rsidR="00F5095E" w:rsidRDefault="00736700" w:rsidP="00736700">
      <w:pPr>
        <w:pStyle w:val="ListParagraph"/>
        <w:numPr>
          <w:ilvl w:val="0"/>
          <w:numId w:val="5"/>
        </w:numPr>
      </w:pPr>
      <w:r w:rsidRPr="00736700">
        <w:t>Community Health Center Association of Connecticut</w:t>
      </w:r>
    </w:p>
    <w:p w14:paraId="5F8108EB" w14:textId="77777777" w:rsidR="00E329FD" w:rsidRDefault="00E329FD" w:rsidP="00E329FD"/>
    <w:p w14:paraId="74F60EEA" w14:textId="77777777" w:rsidR="00E329FD" w:rsidRPr="00E329FD" w:rsidRDefault="00E329FD" w:rsidP="00E329FD">
      <w:r w:rsidRPr="00E329FD">
        <w:rPr>
          <w:b/>
          <w:bCs/>
        </w:rPr>
        <w:t>About National Association of Community Health Centers</w:t>
      </w:r>
    </w:p>
    <w:p w14:paraId="797B5659" w14:textId="1EA72C88" w:rsidR="00E329FD" w:rsidRPr="00F5095E" w:rsidRDefault="00E329FD" w:rsidP="00E329FD">
      <w:r w:rsidRPr="00E329FD">
        <w:t>Established in 1971, the National Association of Community Health Centers (NACHC) serves as the leading national voice for America’s Health Centers and as an advocate for health care access for the medically underserved and uninsured.</w:t>
      </w:r>
    </w:p>
    <w:sectPr w:rsidR="00E329FD" w:rsidRPr="00F50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2E3D"/>
    <w:multiLevelType w:val="multilevel"/>
    <w:tmpl w:val="197E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40730"/>
    <w:multiLevelType w:val="hybridMultilevel"/>
    <w:tmpl w:val="30B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B1462"/>
    <w:multiLevelType w:val="multilevel"/>
    <w:tmpl w:val="58BA4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5F6E3B"/>
    <w:multiLevelType w:val="hybridMultilevel"/>
    <w:tmpl w:val="4998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C23C4"/>
    <w:multiLevelType w:val="multilevel"/>
    <w:tmpl w:val="9238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8E6871"/>
    <w:multiLevelType w:val="hybridMultilevel"/>
    <w:tmpl w:val="E380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945926">
    <w:abstractNumId w:val="0"/>
  </w:num>
  <w:num w:numId="2" w16cid:durableId="1857689848">
    <w:abstractNumId w:val="1"/>
  </w:num>
  <w:num w:numId="3" w16cid:durableId="90055016">
    <w:abstractNumId w:val="3"/>
  </w:num>
  <w:num w:numId="4" w16cid:durableId="846138589">
    <w:abstractNumId w:val="2"/>
  </w:num>
  <w:num w:numId="5" w16cid:durableId="1772819366">
    <w:abstractNumId w:val="5"/>
  </w:num>
  <w:num w:numId="6" w16cid:durableId="218327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5E"/>
    <w:rsid w:val="0002410B"/>
    <w:rsid w:val="00050DC2"/>
    <w:rsid w:val="00052C2E"/>
    <w:rsid w:val="000876EE"/>
    <w:rsid w:val="000947B2"/>
    <w:rsid w:val="00152FDA"/>
    <w:rsid w:val="0017476F"/>
    <w:rsid w:val="0031428C"/>
    <w:rsid w:val="00362A96"/>
    <w:rsid w:val="003A736F"/>
    <w:rsid w:val="003C61C9"/>
    <w:rsid w:val="00491FC9"/>
    <w:rsid w:val="004A250E"/>
    <w:rsid w:val="0058350A"/>
    <w:rsid w:val="0060635E"/>
    <w:rsid w:val="006F086F"/>
    <w:rsid w:val="007322E6"/>
    <w:rsid w:val="00736700"/>
    <w:rsid w:val="007B44EF"/>
    <w:rsid w:val="008329A4"/>
    <w:rsid w:val="00852820"/>
    <w:rsid w:val="00905156"/>
    <w:rsid w:val="0095554A"/>
    <w:rsid w:val="009D50ED"/>
    <w:rsid w:val="009E0DAC"/>
    <w:rsid w:val="009E70EF"/>
    <w:rsid w:val="00A82CD5"/>
    <w:rsid w:val="00A90B67"/>
    <w:rsid w:val="00AD19D4"/>
    <w:rsid w:val="00B35C7A"/>
    <w:rsid w:val="00B803CE"/>
    <w:rsid w:val="00BA3519"/>
    <w:rsid w:val="00BB463E"/>
    <w:rsid w:val="00BE284C"/>
    <w:rsid w:val="00CD3AC6"/>
    <w:rsid w:val="00D502A5"/>
    <w:rsid w:val="00DC4163"/>
    <w:rsid w:val="00E329FD"/>
    <w:rsid w:val="00ED5B45"/>
    <w:rsid w:val="00F5095E"/>
    <w:rsid w:val="00F9100C"/>
    <w:rsid w:val="00FE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41"/>
  <w15:chartTrackingRefBased/>
  <w15:docId w15:val="{0A4DA3F0-9FBD-42DA-8357-4764165E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C9"/>
    <w:pPr>
      <w:ind w:left="720"/>
      <w:contextualSpacing/>
    </w:pPr>
  </w:style>
  <w:style w:type="paragraph" w:styleId="Revision">
    <w:name w:val="Revision"/>
    <w:hidden/>
    <w:uiPriority w:val="99"/>
    <w:semiHidden/>
    <w:rsid w:val="00D50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1731">
      <w:bodyDiv w:val="1"/>
      <w:marLeft w:val="0"/>
      <w:marRight w:val="0"/>
      <w:marTop w:val="0"/>
      <w:marBottom w:val="0"/>
      <w:divBdr>
        <w:top w:val="none" w:sz="0" w:space="0" w:color="auto"/>
        <w:left w:val="none" w:sz="0" w:space="0" w:color="auto"/>
        <w:bottom w:val="none" w:sz="0" w:space="0" w:color="auto"/>
        <w:right w:val="none" w:sz="0" w:space="0" w:color="auto"/>
      </w:divBdr>
    </w:div>
    <w:div w:id="836648459">
      <w:bodyDiv w:val="1"/>
      <w:marLeft w:val="0"/>
      <w:marRight w:val="0"/>
      <w:marTop w:val="0"/>
      <w:marBottom w:val="0"/>
      <w:divBdr>
        <w:top w:val="none" w:sz="0" w:space="0" w:color="auto"/>
        <w:left w:val="none" w:sz="0" w:space="0" w:color="auto"/>
        <w:bottom w:val="none" w:sz="0" w:space="0" w:color="auto"/>
        <w:right w:val="none" w:sz="0" w:space="0" w:color="auto"/>
      </w:divBdr>
    </w:div>
    <w:div w:id="18118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2465</Characters>
  <Application>Microsoft Office Word</Application>
  <DocSecurity>0</DocSecurity>
  <Lines>205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Mason</dc:creator>
  <cp:keywords/>
  <dc:description/>
  <cp:lastModifiedBy>Amy Simmons</cp:lastModifiedBy>
  <cp:revision>2</cp:revision>
  <dcterms:created xsi:type="dcterms:W3CDTF">2023-04-27T13:56:00Z</dcterms:created>
  <dcterms:modified xsi:type="dcterms:W3CDTF">2023-04-27T13:56:00Z</dcterms:modified>
</cp:coreProperties>
</file>