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200" w:line="276" w:lineRule="auto"/>
        <w:rPr>
          <w:sz w:val="22"/>
          <w:szCs w:val="22"/>
        </w:rPr>
      </w:pPr>
      <w:r>
        <w:rPr>
          <w:strike w:val="0"/>
          <w:sz w:val="22"/>
          <w:szCs w:val="22"/>
          <w:u w:val="none"/>
        </w:rPr>
        <w:drawing>
          <wp:anchor simplePos="0" relativeHeight="251658240" behindDoc="0" locked="0" layoutInCell="1" allowOverlap="1">
            <wp:simplePos x="0" y="0"/>
            <wp:positionH relativeFrom="column">
              <wp:posOffset>3698621</wp:posOffset>
            </wp:positionH>
            <wp:positionV relativeFrom="paragraph">
              <wp:posOffset>122936</wp:posOffset>
            </wp:positionV>
            <wp:extent cx="2609850" cy="8191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609850" cy="819150"/>
                    </a:xfrm>
                    <a:prstGeom prst="rect">
                      <a:avLst/>
                    </a:prstGeom>
                  </pic:spPr>
                </pic:pic>
              </a:graphicData>
            </a:graphic>
          </wp:anchor>
        </w:drawing>
      </w:r>
      <w:r>
        <w:rPr>
          <w:strike w:val="0"/>
          <w:sz w:val="22"/>
          <w:szCs w:val="22"/>
          <w:u w:val="none"/>
        </w:rPr>
        <w:drawing>
          <wp:inline>
            <wp:extent cx="3095625" cy="1000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stretch>
                      <a:fillRect/>
                    </a:stretch>
                  </pic:blipFill>
                  <pic:spPr>
                    <a:xfrm>
                      <a:off x="0" y="0"/>
                      <a:ext cx="3095625" cy="1000125"/>
                    </a:xfrm>
                    <a:prstGeom prst="rect">
                      <a:avLst/>
                    </a:prstGeom>
                  </pic:spPr>
                </pic:pic>
              </a:graphicData>
            </a:graphic>
          </wp:inline>
        </w:drawing>
      </w:r>
    </w:p>
    <w:p>
      <w:pPr>
        <w:spacing w:before="0" w:after="200" w:line="276" w:lineRule="auto"/>
        <w:rPr>
          <w:sz w:val="56"/>
          <w:szCs w:val="56"/>
        </w:rPr>
      </w:pPr>
      <w:r>
        <w:rPr>
          <w:rFonts w:ascii="Arial" w:eastAsia="Arial" w:hAnsi="Arial" w:cs="Arial"/>
          <w:sz w:val="56"/>
          <w:szCs w:val="56"/>
        </w:rPr>
        <w:t>Splatter and Aerosol Moderation Procedure</w:t>
      </w:r>
    </w:p>
    <w:p>
      <w:pPr>
        <w:spacing w:before="0" w:after="0"/>
        <w:rPr>
          <w:sz w:val="24"/>
          <w:szCs w:val="24"/>
        </w:rPr>
      </w:pPr>
      <w:r>
        <w:rPr>
          <w:rFonts w:ascii="Arial" w:eastAsia="Arial" w:hAnsi="Arial" w:cs="Arial"/>
        </w:rPr>
        <w:t xml:space="preserve">Approval Date: </w:t>
      </w:r>
      <w:r>
        <w:rPr>
          <w:rFonts w:ascii="Arial" w:eastAsia="Arial" w:hAnsi="Arial" w:cs="Arial"/>
          <w:sz w:val="24"/>
          <w:szCs w:val="24"/>
        </w:rPr>
        <w:tab/>
      </w:r>
      <w:r>
        <w:rPr>
          <w:rFonts w:ascii="Arial" w:eastAsia="Arial" w:hAnsi="Arial" w:cs="Arial"/>
        </w:rPr>
        <w:t xml:space="preserve"> </w:t>
      </w:r>
      <w:r>
        <w:rPr>
          <w:rFonts w:ascii="Arial" w:eastAsia="Arial" w:hAnsi="Arial" w:cs="Arial"/>
          <w:b/>
          <w:bCs/>
        </w:rPr>
        <w:t>May 19, 2020</w:t>
      </w:r>
    </w:p>
    <w:p>
      <w:pPr>
        <w:spacing w:before="0" w:after="0"/>
        <w:rPr>
          <w:sz w:val="24"/>
          <w:szCs w:val="24"/>
        </w:rPr>
      </w:pPr>
      <w:r>
        <w:rPr>
          <w:rFonts w:ascii="Arial" w:eastAsia="Arial" w:hAnsi="Arial" w:cs="Arial"/>
        </w:rPr>
        <w:t>Document Owner:</w:t>
      </w:r>
      <w:r>
        <w:rPr>
          <w:rFonts w:ascii="Arial" w:eastAsia="Arial" w:hAnsi="Arial" w:cs="Arial"/>
          <w:sz w:val="24"/>
          <w:szCs w:val="24"/>
        </w:rPr>
        <w:tab/>
      </w:r>
      <w:r>
        <w:rPr>
          <w:rFonts w:ascii="Arial" w:eastAsia="Arial" w:hAnsi="Arial" w:cs="Arial"/>
        </w:rPr>
        <w:t xml:space="preserve"> </w:t>
      </w:r>
      <w:r>
        <w:rPr>
          <w:rFonts w:ascii="Arial" w:eastAsia="Arial" w:hAnsi="Arial" w:cs="Arial"/>
          <w:b/>
          <w:bCs/>
        </w:rPr>
        <w:t>Chief Dental Officer</w:t>
      </w:r>
    </w:p>
    <w:p>
      <w:pPr>
        <w:spacing w:before="0" w:after="0"/>
        <w:rPr>
          <w:sz w:val="24"/>
          <w:szCs w:val="24"/>
        </w:rPr>
      </w:pPr>
      <w:r>
        <w:rPr>
          <w:rFonts w:ascii="Arial" w:eastAsia="Arial" w:hAnsi="Arial" w:cs="Arial"/>
        </w:rPr>
        <w:t>Department:</w:t>
      </w:r>
      <w:r>
        <w:rPr>
          <w:rFonts w:ascii="Arial" w:eastAsia="Arial" w:hAnsi="Arial" w:cs="Arial"/>
          <w:sz w:val="24"/>
          <w:szCs w:val="24"/>
        </w:rPr>
        <w:tab/>
      </w:r>
      <w:r>
        <w:rPr>
          <w:rFonts w:ascii="Arial" w:eastAsia="Arial" w:hAnsi="Arial" w:cs="Arial"/>
          <w:sz w:val="24"/>
          <w:szCs w:val="24"/>
        </w:rPr>
        <w:tab/>
      </w:r>
      <w:r>
        <w:rPr>
          <w:rFonts w:ascii="Arial" w:eastAsia="Arial" w:hAnsi="Arial" w:cs="Arial"/>
        </w:rPr>
        <w:t xml:space="preserve"> </w:t>
      </w:r>
      <w:r>
        <w:rPr>
          <w:rFonts w:ascii="Arial" w:eastAsia="Arial" w:hAnsi="Arial" w:cs="Arial"/>
          <w:b/>
          <w:bCs/>
        </w:rPr>
        <w:t>Dental</w:t>
      </w:r>
      <w:r>
        <w:rPr>
          <w:rFonts w:ascii="Arial" w:eastAsia="Arial" w:hAnsi="Arial" w:cs="Arial"/>
          <w:b/>
          <w:bCs/>
        </w:rPr>
        <w:t xml:space="preserve"> </w:t>
      </w:r>
    </w:p>
    <w:p>
      <w:pPr>
        <w:spacing w:before="0" w:after="0" w:line="276" w:lineRule="auto"/>
      </w:pPr>
      <w:r>
        <w:rPr>
          <w:strike w:val="0"/>
          <w:u w:val="none"/>
        </w:rPr>
        <w:drawing>
          <wp:anchor simplePos="0" relativeHeight="251659264" behindDoc="0" locked="0" layoutInCell="1" allowOverlap="1">
            <wp:simplePos x="0" y="0"/>
            <wp:positionH relativeFrom="column">
              <wp:posOffset>0</wp:posOffset>
            </wp:positionH>
            <wp:positionV relativeFrom="paragraph">
              <wp:posOffset>67310</wp:posOffset>
            </wp:positionV>
            <wp:extent cx="5981700" cy="28575"/>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6"/>
                    <a:stretch>
                      <a:fillRect/>
                    </a:stretch>
                  </pic:blipFill>
                  <pic:spPr>
                    <a:xfrm>
                      <a:off x="0" y="0"/>
                      <a:ext cx="5981700" cy="28575"/>
                    </a:xfrm>
                    <a:prstGeom prst="rect">
                      <a:avLst/>
                    </a:prstGeom>
                  </pic:spPr>
                </pic:pic>
              </a:graphicData>
            </a:graphic>
          </wp:anchor>
        </w:drawing>
      </w:r>
    </w:p>
    <w:p>
      <w:pPr>
        <w:spacing w:before="0" w:after="200" w:line="276" w:lineRule="auto"/>
        <w:rPr>
          <w:sz w:val="22"/>
          <w:szCs w:val="22"/>
        </w:rPr>
      </w:pPr>
      <w:r>
        <w:rPr>
          <w:rFonts w:ascii="Arial" w:eastAsia="Arial" w:hAnsi="Arial" w:cs="Arial"/>
          <w:b/>
          <w:bCs/>
          <w:sz w:val="22"/>
          <w:szCs w:val="22"/>
        </w:rPr>
        <w:t>RELATED POLICY:</w:t>
      </w:r>
      <w:r>
        <w:rPr>
          <w:rFonts w:ascii="Arial" w:eastAsia="Arial" w:hAnsi="Arial" w:cs="Arial"/>
          <w:b/>
          <w:bCs/>
          <w:sz w:val="22"/>
          <w:szCs w:val="22"/>
        </w:rPr>
        <w:t xml:space="preserve">  </w:t>
      </w:r>
      <w:r>
        <w:rPr>
          <w:rFonts w:ascii="Arial" w:eastAsia="Arial" w:hAnsi="Arial" w:cs="Arial"/>
          <w:b/>
          <w:bCs/>
          <w:sz w:val="22"/>
          <w:szCs w:val="22"/>
        </w:rPr>
        <w:t>NONE</w:t>
      </w:r>
    </w:p>
    <w:p>
      <w:pPr>
        <w:spacing w:before="0" w:after="200" w:line="276" w:lineRule="auto"/>
        <w:rPr>
          <w:sz w:val="22"/>
          <w:szCs w:val="22"/>
        </w:rPr>
      </w:pPr>
      <w:r>
        <w:rPr>
          <w:rFonts w:ascii="Arial" w:eastAsia="Arial" w:hAnsi="Arial" w:cs="Arial"/>
          <w:b/>
          <w:bCs/>
          <w:sz w:val="22"/>
          <w:szCs w:val="22"/>
        </w:rPr>
        <w:t xml:space="preserve">PROCEDURE: </w:t>
      </w:r>
    </w:p>
    <w:p>
      <w:pPr>
        <w:spacing w:before="0" w:after="200" w:line="276" w:lineRule="auto"/>
        <w:rPr>
          <w:sz w:val="22"/>
          <w:szCs w:val="22"/>
        </w:rPr>
      </w:pPr>
      <w:r>
        <w:rPr>
          <w:rFonts w:ascii="Arial" w:eastAsia="Arial" w:hAnsi="Arial" w:cs="Arial"/>
          <w:sz w:val="22"/>
          <w:szCs w:val="22"/>
        </w:rPr>
        <w:t xml:space="preserve">Many dental procedures have the potential to create </w:t>
      </w:r>
      <w:r>
        <w:rPr>
          <w:rFonts w:ascii="Arial" w:eastAsia="Arial" w:hAnsi="Arial" w:cs="Arial"/>
          <w:sz w:val="22"/>
          <w:szCs w:val="22"/>
        </w:rPr>
        <w:t>contaminated splatter and/or aerosols. Splatter is defined by airborne particles that behave in a ballistic manner such that they are only suspended in the air for as long as it takes gravity to pull them into contact with a surface. Aerosols, by compariso</w:t>
      </w:r>
      <w:r>
        <w:rPr>
          <w:rFonts w:ascii="Arial" w:eastAsia="Arial" w:hAnsi="Arial" w:cs="Arial"/>
          <w:sz w:val="22"/>
          <w:szCs w:val="22"/>
        </w:rPr>
        <w:t xml:space="preserve">n, are smaller particles which allows the particles to stay airborne for extended periods of time before they settle on a surface. </w:t>
      </w:r>
    </w:p>
    <w:p>
      <w:pPr>
        <w:spacing w:before="0" w:after="200" w:line="276" w:lineRule="auto"/>
        <w:rPr>
          <w:sz w:val="22"/>
          <w:szCs w:val="22"/>
        </w:rPr>
      </w:pPr>
      <w:r>
        <w:rPr>
          <w:rFonts w:ascii="Arial" w:eastAsia="Arial" w:hAnsi="Arial" w:cs="Arial"/>
          <w:sz w:val="22"/>
          <w:szCs w:val="22"/>
        </w:rPr>
        <w:t>HealthLinc classifies the following dental procedures as having a higher probability of generating aerosols:</w:t>
      </w:r>
    </w:p>
    <w:p>
      <w:pPr>
        <w:numPr>
          <w:ilvl w:val="0"/>
          <w:numId w:val="1"/>
        </w:numPr>
        <w:pBdr>
          <w:left w:val="none" w:sz="0" w:space="7" w:color="auto"/>
        </w:pBdr>
        <w:spacing w:before="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Surgical dental</w:t>
      </w:r>
      <w:r>
        <w:rPr>
          <w:rFonts w:ascii="Arial" w:eastAsia="Arial" w:hAnsi="Arial" w:cs="Arial"/>
          <w:sz w:val="22"/>
          <w:szCs w:val="22"/>
        </w:rPr>
        <w:t xml:space="preserve"> extractions</w:t>
      </w:r>
    </w:p>
    <w:p>
      <w:pPr>
        <w:numPr>
          <w:ilvl w:val="0"/>
          <w:numId w:val="1"/>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Restorative procedures </w:t>
      </w:r>
    </w:p>
    <w:p>
      <w:pPr>
        <w:numPr>
          <w:ilvl w:val="0"/>
          <w:numId w:val="1"/>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Periodontal scaling and root </w:t>
      </w:r>
      <w:r>
        <w:rPr>
          <w:rFonts w:ascii="Arial" w:eastAsia="Arial" w:hAnsi="Arial" w:cs="Arial"/>
          <w:sz w:val="22"/>
          <w:szCs w:val="22"/>
        </w:rPr>
        <w:t>planing</w:t>
      </w:r>
    </w:p>
    <w:p>
      <w:pPr>
        <w:numPr>
          <w:ilvl w:val="0"/>
          <w:numId w:val="1"/>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Debridement </w:t>
      </w:r>
    </w:p>
    <w:p>
      <w:pPr>
        <w:numPr>
          <w:ilvl w:val="0"/>
          <w:numId w:val="1"/>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Periodontal scaling in the presence of moderate to severe gingival inflammation </w:t>
      </w:r>
    </w:p>
    <w:p>
      <w:pPr>
        <w:numPr>
          <w:ilvl w:val="0"/>
          <w:numId w:val="1"/>
        </w:numPr>
        <w:pBdr>
          <w:left w:val="none" w:sz="0" w:space="7" w:color="auto"/>
        </w:pBdr>
        <w:spacing w:after="16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Fixed partial denture preparation including single crowns </w:t>
      </w:r>
    </w:p>
    <w:p>
      <w:pPr>
        <w:spacing w:before="0" w:after="200" w:line="276" w:lineRule="auto"/>
        <w:rPr>
          <w:sz w:val="22"/>
          <w:szCs w:val="22"/>
        </w:rPr>
      </w:pPr>
      <w:r>
        <w:rPr>
          <w:rFonts w:ascii="Arial" w:eastAsia="Arial" w:hAnsi="Arial" w:cs="Arial"/>
          <w:sz w:val="22"/>
          <w:szCs w:val="22"/>
        </w:rPr>
        <w:t>The procedures, themselves, do not necessarily create the aerosols, however the instruments that are commonly necessary during their execution can create the undesirable aerosols. These instruments</w:t>
      </w:r>
      <w:r>
        <w:rPr>
          <w:rFonts w:ascii="Arial" w:eastAsia="Arial" w:hAnsi="Arial" w:cs="Arial"/>
          <w:sz w:val="22"/>
          <w:szCs w:val="22"/>
        </w:rPr>
        <w:t xml:space="preserve"> include</w:t>
      </w:r>
    </w:p>
    <w:p>
      <w:pPr>
        <w:numPr>
          <w:ilvl w:val="0"/>
          <w:numId w:val="2"/>
        </w:numPr>
        <w:pBdr>
          <w:left w:val="none" w:sz="0" w:space="7" w:color="auto"/>
        </w:pBdr>
        <w:spacing w:before="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Ultrasonic/piezo electric scalers</w:t>
      </w:r>
    </w:p>
    <w:p>
      <w:pPr>
        <w:numPr>
          <w:ilvl w:val="0"/>
          <w:numId w:val="2"/>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Air-water syringe</w:t>
      </w:r>
    </w:p>
    <w:p>
      <w:pPr>
        <w:numPr>
          <w:ilvl w:val="0"/>
          <w:numId w:val="2"/>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Air turbine powered dental handpieces</w:t>
      </w:r>
    </w:p>
    <w:p>
      <w:pPr>
        <w:numPr>
          <w:ilvl w:val="0"/>
          <w:numId w:val="2"/>
        </w:numPr>
        <w:pBdr>
          <w:left w:val="none" w:sz="0" w:space="7" w:color="auto"/>
        </w:pBdr>
        <w:spacing w:after="16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Surgical dental handpieces </w:t>
      </w:r>
    </w:p>
    <w:p>
      <w:pPr>
        <w:spacing w:before="0" w:after="200" w:line="276" w:lineRule="auto"/>
        <w:rPr>
          <w:sz w:val="22"/>
          <w:szCs w:val="22"/>
        </w:rPr>
      </w:pPr>
      <w:r>
        <w:rPr>
          <w:rFonts w:ascii="Arial" w:eastAsia="Arial" w:hAnsi="Arial" w:cs="Arial"/>
          <w:sz w:val="22"/>
          <w:szCs w:val="22"/>
        </w:rPr>
        <w:t>The generation of the aerosol contamination can be mitigated by implementing the following procedure modifications:</w:t>
      </w:r>
    </w:p>
    <w:p>
      <w:pPr>
        <w:numPr>
          <w:ilvl w:val="0"/>
          <w:numId w:val="3"/>
        </w:numPr>
        <w:pBdr>
          <w:left w:val="none" w:sz="0" w:space="7" w:color="auto"/>
        </w:pBdr>
        <w:spacing w:before="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Prohibition o</w:t>
      </w:r>
      <w:r>
        <w:rPr>
          <w:rFonts w:ascii="Arial" w:eastAsia="Arial" w:hAnsi="Arial" w:cs="Arial"/>
          <w:sz w:val="22"/>
          <w:szCs w:val="22"/>
        </w:rPr>
        <w:t>f utilization of ultrasonic/piezo electric scalers</w:t>
      </w:r>
    </w:p>
    <w:p>
      <w:pPr>
        <w:numPr>
          <w:ilvl w:val="0"/>
          <w:numId w:val="3"/>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Minimization of the use of air/water syringe during procedure</w:t>
      </w:r>
    </w:p>
    <w:p>
      <w:pPr>
        <w:numPr>
          <w:ilvl w:val="0"/>
          <w:numId w:val="3"/>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Isolation of the teeth with a rubber dam </w:t>
      </w:r>
    </w:p>
    <w:p>
      <w:pPr>
        <w:numPr>
          <w:ilvl w:val="0"/>
          <w:numId w:val="3"/>
        </w:numPr>
        <w:pBdr>
          <w:left w:val="none" w:sz="0" w:space="7" w:color="auto"/>
        </w:pBdr>
        <w:spacing w:after="16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Utilizing high volume evacuation </w:t>
      </w:r>
    </w:p>
    <w:p>
      <w:pPr>
        <w:spacing w:before="0" w:after="200" w:line="276" w:lineRule="auto"/>
        <w:rPr>
          <w:sz w:val="22"/>
          <w:szCs w:val="22"/>
        </w:rPr>
      </w:pPr>
      <w:r>
        <w:rPr>
          <w:rFonts w:ascii="Arial" w:eastAsia="Arial" w:hAnsi="Arial" w:cs="Arial"/>
          <w:sz w:val="22"/>
          <w:szCs w:val="22"/>
        </w:rPr>
        <w:t>The procedures that are unable to be completed without a rubber dam</w:t>
      </w:r>
      <w:r>
        <w:rPr>
          <w:rFonts w:ascii="Arial" w:eastAsia="Arial" w:hAnsi="Arial" w:cs="Arial"/>
          <w:sz w:val="22"/>
          <w:szCs w:val="22"/>
        </w:rPr>
        <w:t xml:space="preserve"> or an ultrasonic/piezo electric scaler must be completed in an isolated environment such that the aerosol generated is contained for sufficient time to allow for the airborne particles to fall to the surfaces and not spread through the environment</w:t>
      </w:r>
      <w:r>
        <w:rPr>
          <w:rFonts w:ascii="Arial" w:eastAsia="Arial" w:hAnsi="Arial" w:cs="Arial"/>
          <w:sz w:val="22"/>
          <w:szCs w:val="22"/>
        </w:rPr>
        <w:t>. This t</w:t>
      </w:r>
      <w:r>
        <w:rPr>
          <w:rFonts w:ascii="Arial" w:eastAsia="Arial" w:hAnsi="Arial" w:cs="Arial"/>
          <w:sz w:val="22"/>
          <w:szCs w:val="22"/>
        </w:rPr>
        <w:t>akes three (3) hours. Every</w:t>
      </w:r>
      <w:r>
        <w:rPr>
          <w:rFonts w:ascii="Arial" w:eastAsia="Arial" w:hAnsi="Arial" w:cs="Arial"/>
          <w:sz w:val="22"/>
          <w:szCs w:val="22"/>
        </w:rPr>
        <w:t xml:space="preserve"> effort should be made to predict the procedures that could potentially require the generation of dental aerosols and schedule these procedures at the end of the clinic’s hours of operation. </w:t>
      </w:r>
      <w:r>
        <w:rPr>
          <w:rFonts w:ascii="Arial" w:eastAsia="Arial" w:hAnsi="Arial" w:cs="Arial"/>
          <w:sz w:val="22"/>
          <w:szCs w:val="22"/>
        </w:rPr>
        <w:t>In the event that</w:t>
      </w:r>
      <w:r>
        <w:rPr>
          <w:rFonts w:ascii="Arial" w:eastAsia="Arial" w:hAnsi="Arial" w:cs="Arial"/>
          <w:sz w:val="22"/>
          <w:szCs w:val="22"/>
        </w:rPr>
        <w:t xml:space="preserve"> a procedure unexpect</w:t>
      </w:r>
      <w:r>
        <w:rPr>
          <w:rFonts w:ascii="Arial" w:eastAsia="Arial" w:hAnsi="Arial" w:cs="Arial"/>
          <w:sz w:val="22"/>
          <w:szCs w:val="22"/>
        </w:rPr>
        <w:t>edly requires the generation of aerosols that cannot be mitigated, the procedure should be moved to an operatory that has a door that can be closed.</w:t>
      </w:r>
    </w:p>
    <w:p>
      <w:pPr>
        <w:spacing w:before="0" w:after="200" w:line="276" w:lineRule="auto"/>
        <w:rPr>
          <w:sz w:val="22"/>
          <w:szCs w:val="22"/>
        </w:rPr>
      </w:pPr>
    </w:p>
    <w:p>
      <w:pPr>
        <w:spacing w:before="0" w:after="200" w:line="276" w:lineRule="auto"/>
        <w:rPr>
          <w:sz w:val="22"/>
          <w:szCs w:val="22"/>
        </w:rPr>
      </w:pPr>
      <w:r>
        <w:rPr>
          <w:rFonts w:ascii="Arial" w:eastAsia="Arial" w:hAnsi="Arial" w:cs="Arial"/>
          <w:sz w:val="22"/>
          <w:szCs w:val="22"/>
        </w:rPr>
        <w:t xml:space="preserve">HealthLinc classifies the following dental procedures as having a low probability of generating </w:t>
      </w:r>
      <w:r>
        <w:rPr>
          <w:rFonts w:ascii="Arial" w:eastAsia="Arial" w:hAnsi="Arial" w:cs="Arial"/>
          <w:sz w:val="22"/>
          <w:szCs w:val="22"/>
        </w:rPr>
        <w:t>aerosols</w:t>
      </w:r>
    </w:p>
    <w:p>
      <w:pPr>
        <w:numPr>
          <w:ilvl w:val="0"/>
          <w:numId w:val="4"/>
        </w:numPr>
        <w:pBdr>
          <w:left w:val="none" w:sz="0" w:space="7" w:color="auto"/>
        </w:pBdr>
        <w:spacing w:before="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 xml:space="preserve">Removable prosthodontics </w:t>
      </w:r>
    </w:p>
    <w:p>
      <w:pPr>
        <w:numPr>
          <w:ilvl w:val="0"/>
          <w:numId w:val="4"/>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Endodontic therapy</w:t>
      </w:r>
    </w:p>
    <w:p>
      <w:pPr>
        <w:numPr>
          <w:ilvl w:val="0"/>
          <w:numId w:val="4"/>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Non-surgical extractions</w:t>
      </w:r>
    </w:p>
    <w:p>
      <w:pPr>
        <w:numPr>
          <w:ilvl w:val="0"/>
          <w:numId w:val="4"/>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Dental prophylaxis without coronal polishing</w:t>
      </w:r>
    </w:p>
    <w:p>
      <w:pPr>
        <w:numPr>
          <w:ilvl w:val="0"/>
          <w:numId w:val="4"/>
        </w:numPr>
        <w:pBdr>
          <w:left w:val="none" w:sz="0" w:space="7" w:color="auto"/>
        </w:pBdr>
        <w:spacing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Dental exams</w:t>
      </w:r>
    </w:p>
    <w:p>
      <w:pPr>
        <w:numPr>
          <w:ilvl w:val="0"/>
          <w:numId w:val="4"/>
        </w:numPr>
        <w:pBdr>
          <w:left w:val="none" w:sz="0" w:space="7" w:color="auto"/>
        </w:pBdr>
        <w:spacing w:after="0" w:line="257" w:lineRule="auto"/>
        <w:ind w:left="720" w:right="0" w:hanging="430"/>
        <w:jc w:val="left"/>
        <w:rPr>
          <w:rFonts w:ascii="Times New Roman" w:eastAsia="Times New Roman" w:hAnsi="Times New Roman" w:cs="Times New Roman"/>
          <w:sz w:val="22"/>
          <w:szCs w:val="22"/>
        </w:rPr>
      </w:pPr>
      <w:r>
        <w:rPr>
          <w:rFonts w:ascii="Arial" w:eastAsia="Arial" w:hAnsi="Arial" w:cs="Arial"/>
          <w:sz w:val="22"/>
          <w:szCs w:val="22"/>
        </w:rPr>
        <w:t>Fixed partial denture delivery</w:t>
      </w:r>
    </w:p>
    <w:p>
      <w:pPr>
        <w:spacing w:before="0" w:after="200" w:line="276" w:lineRule="auto"/>
        <w:ind w:left="720"/>
        <w:rPr>
          <w:sz w:val="22"/>
          <w:szCs w:val="22"/>
        </w:rPr>
      </w:pPr>
    </w:p>
    <w:p>
      <w:pPr>
        <w:spacing w:before="0" w:after="200" w:line="276" w:lineRule="auto"/>
        <w:rPr>
          <w:sz w:val="22"/>
          <w:szCs w:val="22"/>
        </w:rPr>
      </w:pPr>
      <w:r>
        <w:rPr>
          <w:rFonts w:ascii="Arial" w:eastAsia="Arial" w:hAnsi="Arial" w:cs="Arial"/>
          <w:sz w:val="22"/>
          <w:szCs w:val="22"/>
        </w:rPr>
        <w:t xml:space="preserve">These procedures are less likely to generate </w:t>
      </w:r>
      <w:r>
        <w:rPr>
          <w:rFonts w:ascii="Arial" w:eastAsia="Arial" w:hAnsi="Arial" w:cs="Arial"/>
          <w:sz w:val="22"/>
          <w:szCs w:val="22"/>
        </w:rPr>
        <w:t>aerosols,</w:t>
      </w:r>
      <w:r>
        <w:rPr>
          <w:rFonts w:ascii="Arial" w:eastAsia="Arial" w:hAnsi="Arial" w:cs="Arial"/>
          <w:sz w:val="22"/>
          <w:szCs w:val="22"/>
        </w:rPr>
        <w:t xml:space="preserve"> however they are still capable o</w:t>
      </w:r>
      <w:r>
        <w:rPr>
          <w:rFonts w:ascii="Arial" w:eastAsia="Arial" w:hAnsi="Arial" w:cs="Arial"/>
          <w:sz w:val="22"/>
          <w:szCs w:val="22"/>
        </w:rPr>
        <w:t>f generating splatter. Splatter poses an infection control risk only in the operatory it is generated within. To mitigate the contamination in these cases, HealthLinc will limit the number of people in the dental operatory and require that they wear a mask</w:t>
      </w:r>
      <w:r>
        <w:rPr>
          <w:rFonts w:ascii="Arial" w:eastAsia="Arial" w:hAnsi="Arial" w:cs="Arial"/>
          <w:sz w:val="22"/>
          <w:szCs w:val="22"/>
        </w:rPr>
        <w:t xml:space="preserve"> for the duration of the time they are in the clinic. HealthLinc will also utilize plastic barriers while maintaining strict surface disinfection procedures as described in the Dental Pre and Post-Procedure Room Set-up document. </w:t>
      </w:r>
    </w:p>
    <w:p>
      <w:pPr>
        <w:spacing w:before="0" w:after="200" w:line="276" w:lineRule="auto"/>
        <w:rPr>
          <w:sz w:val="22"/>
          <w:szCs w:val="22"/>
        </w:rPr>
      </w:pPr>
      <w:r>
        <w:rPr>
          <w:rFonts w:ascii="Arial" w:eastAsia="Arial" w:hAnsi="Arial" w:cs="Arial"/>
          <w:b/>
          <w:bCs/>
          <w:sz w:val="22"/>
          <w:szCs w:val="22"/>
        </w:rPr>
        <w:t xml:space="preserve">RELATED PROCEDURES: </w:t>
      </w:r>
      <w:hyperlink r:id="rId7" w:history="1">
        <w:r>
          <w:rPr>
            <w:rFonts w:ascii="Arial" w:eastAsia="Arial" w:hAnsi="Arial" w:cs="Arial"/>
            <w:color w:val="0563C1"/>
            <w:sz w:val="22"/>
            <w:szCs w:val="22"/>
            <w:u w:val="single" w:color="0563C1"/>
          </w:rPr>
          <w:t xml:space="preserve">Dental Pre and Post-Procedure Room Set-up </w:t>
        </w:r>
      </w:hyperlink>
    </w:p>
    <w:p>
      <w:pPr>
        <w:spacing w:before="0" w:after="200" w:line="276" w:lineRule="auto"/>
        <w:rPr>
          <w:sz w:val="22"/>
          <w:szCs w:val="22"/>
        </w:rPr>
      </w:pPr>
      <w:r>
        <w:rPr>
          <w:rFonts w:ascii="Arial" w:eastAsia="Arial" w:hAnsi="Arial" w:cs="Arial"/>
          <w:b/>
          <w:bCs/>
          <w:sz w:val="22"/>
          <w:szCs w:val="22"/>
        </w:rPr>
        <w:t>RELATED FORMS:</w:t>
      </w:r>
      <w:r>
        <w:rPr>
          <w:rFonts w:ascii="Arial" w:eastAsia="Arial" w:hAnsi="Arial" w:cs="Arial"/>
          <w:b/>
          <w:bCs/>
          <w:sz w:val="22"/>
          <w:szCs w:val="22"/>
        </w:rPr>
        <w:t xml:space="preserve">  </w:t>
      </w:r>
      <w:r>
        <w:rPr>
          <w:rFonts w:ascii="Arial" w:eastAsia="Arial" w:hAnsi="Arial" w:cs="Arial"/>
          <w:b/>
          <w:bCs/>
          <w:sz w:val="22"/>
          <w:szCs w:val="22"/>
        </w:rPr>
        <w:t>NONE</w:t>
      </w:r>
    </w:p>
    <w:p>
      <w:pPr>
        <w:spacing w:before="0" w:after="200" w:line="276" w:lineRule="auto"/>
        <w:rPr>
          <w:sz w:val="22"/>
          <w:szCs w:val="22"/>
        </w:rPr>
      </w:pPr>
    </w:p>
    <w:sectPr>
      <w:headerReference w:type="default" r:id="rId8"/>
      <w:footerReference w:type="default" r:id="rId9"/>
      <w:type w:val="nextPage"/>
      <w:pgSz w:w="12240" w:h="15840"/>
      <w:pgMar w:top="806" w:right="1440" w:bottom="864"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s>
      <w:spacing w:before="0" w:after="0"/>
      <w:rPr>
        <w:sz w:val="22"/>
        <w:szCs w:val="22"/>
      </w:rPr>
    </w:pPr>
    <w:r>
      <w:rPr>
        <w:rFonts w:ascii="Calibri" w:eastAsia="Calibri" w:hAnsi="Calibri" w:cs="Calibri"/>
        <w:sz w:val="22"/>
        <w:szCs w:val="22"/>
      </w:rPr>
      <w:t>HealthLinc, Inc. © 2020</w:t>
    </w: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Pr>
        <w:rFonts w:ascii="Calibri" w:eastAsia="Calibri" w:hAnsi="Calibri" w:cs="Calibri"/>
        <w:sz w:val="22"/>
        <w:szCs w:val="22"/>
      </w:rPr>
      <w:t>2</w:t>
    </w:r>
    <w:r>
      <w:rPr>
        <w:rFonts w:ascii="Calibri" w:eastAsia="Calibri" w:hAnsi="Calibri" w:cs="Calibri"/>
        <w:sz w:val="22"/>
        <w:szCs w:val="22"/>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yperlink" Target="https://healthlincchc.policytech.com/docview/?docid=3168" TargetMode="External" /><Relationship Id="rId8" Type="http://schemas.openxmlformats.org/officeDocument/2006/relationships/header" Target="header1.xml"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