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200" w:line="276" w:lineRule="auto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3698621</wp:posOffset>
            </wp:positionH>
            <wp:positionV relativeFrom="paragraph">
              <wp:posOffset>122936</wp:posOffset>
            </wp:positionV>
            <wp:extent cx="2609850" cy="81915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2"/>
          <w:szCs w:val="22"/>
          <w:u w:val="none"/>
        </w:rPr>
        <w:drawing>
          <wp:inline>
            <wp:extent cx="3095625" cy="1000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rPr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Positive Screening to COVI</w:t>
      </w:r>
      <w:r>
        <w:rPr>
          <w:rFonts w:ascii="Arial" w:eastAsia="Arial" w:hAnsi="Arial" w:cs="Arial"/>
          <w:sz w:val="56"/>
          <w:szCs w:val="56"/>
        </w:rPr>
        <w:t>D-19 Questions and Dental Care Procedure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Arial" w:eastAsia="Arial" w:hAnsi="Arial" w:cs="Arial"/>
        </w:rPr>
        <w:t xml:space="preserve">Approval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May 21, 2020</w:t>
      </w:r>
    </w:p>
    <w:p>
      <w:pPr>
        <w:spacing w:before="0" w:after="0"/>
        <w:rPr>
          <w:sz w:val="24"/>
          <w:szCs w:val="24"/>
        </w:rPr>
      </w:pPr>
      <w:r>
        <w:rPr>
          <w:rFonts w:ascii="Arial" w:eastAsia="Arial" w:hAnsi="Arial" w:cs="Arial"/>
        </w:rPr>
        <w:t>Document Owner: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Chief Dental Officer</w:t>
      </w:r>
    </w:p>
    <w:p>
      <w:pPr>
        <w:spacing w:before="0" w:after="0"/>
        <w:rPr>
          <w:sz w:val="24"/>
          <w:szCs w:val="24"/>
        </w:rPr>
      </w:pPr>
      <w:r>
        <w:rPr>
          <w:rFonts w:ascii="Arial" w:eastAsia="Arial" w:hAnsi="Arial" w:cs="Arial"/>
        </w:rPr>
        <w:t>Department: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Dental</w:t>
      </w:r>
      <w:r>
        <w:rPr>
          <w:rFonts w:ascii="Arial" w:eastAsia="Arial" w:hAnsi="Arial" w:cs="Arial"/>
          <w:b/>
          <w:bCs/>
        </w:rPr>
        <w:t xml:space="preserve"> </w:t>
      </w:r>
    </w:p>
    <w:p>
      <w:pPr>
        <w:spacing w:before="0" w:after="0" w:line="276" w:lineRule="auto"/>
      </w:pPr>
      <w:r>
        <w:rPr>
          <w:strike w:val="0"/>
          <w:u w:val="none"/>
        </w:rPr>
        <w:drawing>
          <wp:anchor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598170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200" w:line="276" w:lineRule="auto"/>
      </w:pPr>
      <w:r>
        <w:rPr>
          <w:rFonts w:ascii="Arial" w:eastAsia="Arial" w:hAnsi="Arial" w:cs="Arial"/>
          <w:b/>
          <w:bCs/>
        </w:rPr>
        <w:t>PURPOSE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To reduce the possible spread of COVID-19 during dental procedures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HealthLinc will screen for and prohibit dental procedures for patients who have or</w:t>
      </w:r>
      <w:r>
        <w:rPr>
          <w:rFonts w:ascii="Arial" w:eastAsia="Arial" w:hAnsi="Arial" w:cs="Arial"/>
          <w:sz w:val="22"/>
          <w:szCs w:val="22"/>
        </w:rPr>
        <w:t xml:space="preserve"> are </w:t>
      </w:r>
      <w:r>
        <w:rPr>
          <w:rFonts w:ascii="Arial" w:eastAsia="Arial" w:hAnsi="Arial" w:cs="Arial"/>
          <w:sz w:val="22"/>
          <w:szCs w:val="22"/>
        </w:rPr>
        <w:t>suspected of having COVID-19.</w:t>
      </w:r>
    </w:p>
    <w:p>
      <w:pPr>
        <w:spacing w:before="0" w:after="200" w:line="276" w:lineRule="auto"/>
      </w:pPr>
      <w:r>
        <w:rPr>
          <w:rFonts w:ascii="Arial" w:eastAsia="Arial" w:hAnsi="Arial" w:cs="Arial"/>
          <w:b/>
          <w:bCs/>
        </w:rPr>
        <w:t>RELAT</w:t>
      </w:r>
      <w:r>
        <w:rPr>
          <w:rFonts w:ascii="Arial" w:eastAsia="Arial" w:hAnsi="Arial" w:cs="Arial"/>
          <w:b/>
          <w:bCs/>
        </w:rPr>
        <w:t>ED POLICY: NONE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t>PROCEDURE: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HealthLinc will screen all patients for symptoms of acute respirator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illness during the following touch points</w:t>
      </w:r>
    </w:p>
    <w:p>
      <w:pPr>
        <w:spacing w:before="0" w:after="0" w:line="257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When the appointment is scheduled</w:t>
      </w:r>
    </w:p>
    <w:p>
      <w:pPr>
        <w:spacing w:before="0" w:after="0" w:line="257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Upon entry into HealthLinc facility</w:t>
      </w:r>
    </w:p>
    <w:p>
      <w:pPr>
        <w:spacing w:before="0" w:after="160" w:line="257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During the </w:t>
      </w:r>
      <w:r>
        <w:rPr>
          <w:rFonts w:ascii="Arial" w:eastAsia="Arial" w:hAnsi="Arial" w:cs="Arial"/>
          <w:sz w:val="22"/>
          <w:szCs w:val="22"/>
        </w:rPr>
        <w:t>Phreesia</w:t>
      </w:r>
      <w:r>
        <w:rPr>
          <w:rFonts w:ascii="Arial" w:eastAsia="Arial" w:hAnsi="Arial" w:cs="Arial"/>
          <w:sz w:val="22"/>
          <w:szCs w:val="22"/>
        </w:rPr>
        <w:t xml:space="preserve"> interview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Positive respons</w:t>
      </w:r>
      <w:r>
        <w:rPr>
          <w:rFonts w:ascii="Arial" w:eastAsia="Arial" w:hAnsi="Arial" w:cs="Arial"/>
          <w:sz w:val="22"/>
          <w:szCs w:val="22"/>
        </w:rPr>
        <w:t xml:space="preserve">es to any of the screening questions will be reviewed for accuracy. If verified as accurate the patient should be triaged by medical personnel. 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 no circumstances should a patient who has or is suspected of having COVID-19 be admitted for routine dent</w:t>
      </w:r>
      <w:r>
        <w:rPr>
          <w:rFonts w:ascii="Arial" w:eastAsia="Arial" w:hAnsi="Arial" w:cs="Arial"/>
          <w:sz w:val="22"/>
          <w:szCs w:val="22"/>
        </w:rPr>
        <w:t xml:space="preserve">al care. Patients that have or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z w:val="22"/>
          <w:szCs w:val="22"/>
        </w:rPr>
        <w:t xml:space="preserve">suspected of having COVID-19 should be treated following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Airborne” precautions as defined by the CDC.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The “Airborne” precautions are not available at HealthLinc and must be performed in a hospital or other so equipped f</w:t>
      </w:r>
      <w:r>
        <w:rPr>
          <w:rFonts w:ascii="Arial" w:eastAsia="Arial" w:hAnsi="Arial" w:cs="Arial"/>
          <w:sz w:val="22"/>
          <w:szCs w:val="22"/>
        </w:rPr>
        <w:t>acility.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patient will be eligible for elective dental services once either of these conditions is met: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 w:line="276" w:lineRule="auto"/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Patients that have had confirmed COVID-19 and have been asymptomatic for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 xml:space="preserve"> days </w:t>
      </w:r>
      <w:r>
        <w:rPr>
          <w:rFonts w:ascii="Arial" w:eastAsia="Arial" w:hAnsi="Arial" w:cs="Arial"/>
          <w:sz w:val="22"/>
          <w:szCs w:val="22"/>
        </w:rPr>
        <w:t>after a positive COVID test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00" w:line="276" w:lineRule="auto"/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Alternatively, if no diagnostic test was administered 10 days since the start of symptoms or 3 days following symptom resolution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whichever is greater.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patients will be asked to contact the office if they develop symptoms of acute respiratory illness 1</w:t>
      </w:r>
      <w:r>
        <w:rPr>
          <w:rFonts w:ascii="Arial" w:eastAsia="Arial" w:hAnsi="Arial" w:cs="Arial"/>
          <w:sz w:val="22"/>
          <w:szCs w:val="22"/>
        </w:rPr>
        <w:t xml:space="preserve">4 days after their appointment. </w:t>
      </w:r>
      <w:r>
        <w:rPr>
          <w:rFonts w:ascii="Arial" w:eastAsia="Arial" w:hAnsi="Arial" w:cs="Arial"/>
          <w:sz w:val="22"/>
          <w:szCs w:val="22"/>
        </w:rPr>
        <w:t>Staff</w:t>
      </w:r>
      <w:r>
        <w:rPr>
          <w:rFonts w:ascii="Arial" w:eastAsia="Arial" w:hAnsi="Arial" w:cs="Arial"/>
          <w:sz w:val="22"/>
          <w:szCs w:val="22"/>
        </w:rPr>
        <w:t xml:space="preserve"> should immediately contact the CDO for review</w:t>
      </w:r>
      <w:r>
        <w:rPr>
          <w:rFonts w:ascii="Arial" w:eastAsia="Arial" w:hAnsi="Arial" w:cs="Arial"/>
          <w:sz w:val="22"/>
          <w:szCs w:val="22"/>
        </w:rPr>
        <w:t xml:space="preserve"> upon notification by a patient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>
      <w:pPr>
        <w:spacing w:before="0" w:after="200" w:line="276" w:lineRule="auto"/>
      </w:pPr>
      <w:r>
        <w:rPr>
          <w:rFonts w:ascii="Arial" w:eastAsia="Arial" w:hAnsi="Arial" w:cs="Arial"/>
          <w:b/>
          <w:bCs/>
        </w:rPr>
        <w:t>RELATED PROCEDURES: NONE</w:t>
      </w:r>
    </w:p>
    <w:p>
      <w:pPr>
        <w:spacing w:before="0" w:after="200" w:line="276" w:lineRule="auto"/>
      </w:pPr>
      <w:r>
        <w:rPr>
          <w:rFonts w:ascii="Arial" w:eastAsia="Arial" w:hAnsi="Arial" w:cs="Arial"/>
          <w:b/>
          <w:bCs/>
        </w:rPr>
        <w:t>RELATED FORMS: NONE</w:t>
      </w:r>
    </w:p>
    <w:p>
      <w:pPr>
        <w:tabs>
          <w:tab w:val="left" w:pos="2025"/>
        </w:tabs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headerReference w:type="default" r:id="rId7"/>
      <w:footerReference w:type="default" r:id="rId8"/>
      <w:type w:val="nextPage"/>
      <w:pgSz w:w="12240" w:h="15840"/>
      <w:pgMar w:top="806" w:right="1440" w:bottom="864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HealthLinc, Inc. © 2020</w:t>
    </w:r>
  </w:p>
  <w:p>
    <w:pPr>
      <w:tabs>
        <w:tab w:val="center" w:pos="4680"/>
      </w:tabs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