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200" w:line="276" w:lineRule="auto"/>
        <w:rPr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123190</wp:posOffset>
            </wp:positionV>
            <wp:extent cx="2609850" cy="81915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2"/>
          <w:szCs w:val="22"/>
          <w:u w:val="none"/>
        </w:rPr>
        <w:drawing>
          <wp:inline>
            <wp:extent cx="3086100" cy="1000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rPr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Limiting Pathogen Transmission by Dental Personnel in the Clinic Procedure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Approval Date: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</w:rPr>
        <w:t>May 18, 2020</w:t>
      </w:r>
    </w:p>
    <w:p>
      <w:pPr>
        <w:spacing w:before="0" w:after="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>Document Owner: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</w:rPr>
        <w:t>Chief Dental Officer</w:t>
      </w:r>
    </w:p>
    <w:p>
      <w:pPr>
        <w:spacing w:before="0" w:after="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>Department: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</w:rPr>
        <w:t>Dental</w:t>
      </w:r>
    </w:p>
    <w:p>
      <w:pPr>
        <w:spacing w:before="0" w:after="0"/>
      </w:pPr>
    </w:p>
    <w:p>
      <w:pPr>
        <w:spacing w:before="0" w:after="200" w:line="276" w:lineRule="auto"/>
      </w:pPr>
      <w:r>
        <w:rPr>
          <w:strike w:val="0"/>
          <w:u w:val="none"/>
        </w:rPr>
        <w:drawing>
          <wp:anchor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598170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ind w:left="864" w:hanging="864"/>
      </w:pPr>
      <w:r>
        <w:rPr>
          <w:rFonts w:ascii="Arial" w:eastAsia="Arial" w:hAnsi="Arial" w:cs="Arial"/>
          <w:b/>
          <w:bCs/>
        </w:rPr>
        <w:t>PURPOSE:</w:t>
      </w:r>
    </w:p>
    <w:p>
      <w:pPr>
        <w:spacing w:before="0" w:after="0"/>
        <w:ind w:left="54" w:hanging="54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limit the spread of pathogen transmission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dental personnel are to limit their movement within the clinical area while wearing the appropriate PPE.</w:t>
      </w:r>
    </w:p>
    <w:p>
      <w:pPr>
        <w:spacing w:before="0" w:after="0"/>
        <w:ind w:left="54" w:hanging="54"/>
      </w:pPr>
    </w:p>
    <w:p>
      <w:pPr>
        <w:spacing w:before="0" w:after="0"/>
        <w:ind w:left="54" w:hanging="54"/>
      </w:pPr>
      <w:r>
        <w:rPr>
          <w:rFonts w:ascii="Arial" w:eastAsia="Arial" w:hAnsi="Arial" w:cs="Arial"/>
          <w:b/>
          <w:bCs/>
        </w:rPr>
        <w:t>PROCEDURE:</w:t>
      </w:r>
      <w:r>
        <w:rPr>
          <w:rFonts w:ascii="Arial" w:eastAsia="Arial" w:hAnsi="Arial" w:cs="Arial"/>
          <w:b/>
          <w:bCs/>
        </w:rPr>
        <w:t xml:space="preserve">  </w:t>
      </w:r>
    </w:p>
    <w:p>
      <w:pPr>
        <w:spacing w:before="0" w:after="0"/>
        <w:ind w:left="54" w:hanging="54"/>
      </w:pPr>
    </w:p>
    <w:p>
      <w:pPr>
        <w:numPr>
          <w:ilvl w:val="0"/>
          <w:numId w:val="1"/>
        </w:numPr>
        <w:pBdr>
          <w:left w:val="none" w:sz="0" w:space="3" w:color="auto"/>
        </w:pBdr>
        <w:spacing w:before="0"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When the </w:t>
      </w:r>
      <w:r>
        <w:rPr>
          <w:rFonts w:ascii="Arial" w:eastAsia="Arial" w:hAnsi="Arial" w:cs="Arial"/>
          <w:sz w:val="22"/>
          <w:szCs w:val="22"/>
        </w:rPr>
        <w:t xml:space="preserve">clinical staff call a patient back into the clinic, they must have donned the appropriate PPE according to HealthLinc protocol. </w:t>
      </w:r>
    </w:p>
    <w:p>
      <w:pPr>
        <w:numPr>
          <w:ilvl w:val="1"/>
          <w:numId w:val="1"/>
        </w:numPr>
        <w:pBdr>
          <w:left w:val="none" w:sz="0" w:space="7" w:color="auto"/>
        </w:pBdr>
        <w:spacing w:line="257" w:lineRule="auto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All PPE should be donned regardless what the appointment type.</w:t>
      </w:r>
    </w:p>
    <w:p>
      <w:pPr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Hand hygiene should be performed prior to donning examination gl</w:t>
      </w:r>
      <w:r>
        <w:rPr>
          <w:rFonts w:ascii="Arial" w:eastAsia="Arial" w:hAnsi="Arial" w:cs="Arial"/>
          <w:sz w:val="22"/>
          <w:szCs w:val="22"/>
        </w:rPr>
        <w:t>oves when you reach the operatory.</w:t>
      </w:r>
    </w:p>
    <w:p>
      <w:pPr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After preparing the patient for the procedur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remove gloves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perform hand hygiene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and let Dentist know you are ready</w:t>
      </w:r>
      <w:r>
        <w:rPr>
          <w:rFonts w:ascii="Arial" w:eastAsia="Arial" w:hAnsi="Arial" w:cs="Arial"/>
          <w:sz w:val="22"/>
          <w:szCs w:val="22"/>
        </w:rPr>
        <w:t>.</w:t>
      </w:r>
    </w:p>
    <w:p>
      <w:pPr>
        <w:numPr>
          <w:ilvl w:val="1"/>
          <w:numId w:val="1"/>
        </w:numPr>
        <w:pBdr>
          <w:left w:val="none" w:sz="0" w:space="7" w:color="auto"/>
        </w:pBdr>
        <w:spacing w:line="257" w:lineRule="auto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Do not enter the non-clinical area with PPE.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>
      <w:pPr>
        <w:numPr>
          <w:ilvl w:val="1"/>
          <w:numId w:val="1"/>
        </w:numPr>
        <w:pBdr>
          <w:left w:val="none" w:sz="0" w:space="7" w:color="auto"/>
        </w:pBdr>
        <w:spacing w:line="257" w:lineRule="auto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If you have any questions for the PSRs, either ask befor</w:t>
      </w:r>
      <w:r>
        <w:rPr>
          <w:rFonts w:ascii="Arial" w:eastAsia="Arial" w:hAnsi="Arial" w:cs="Arial"/>
          <w:sz w:val="22"/>
          <w:szCs w:val="22"/>
        </w:rPr>
        <w:t>e you get the patient or ask the Dentist to obtain the information from the PSR.</w:t>
      </w:r>
    </w:p>
    <w:p>
      <w:pPr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Dentists puts on PPE and enters the dental operatory</w:t>
      </w:r>
      <w:r>
        <w:rPr>
          <w:rFonts w:ascii="Arial" w:eastAsia="Arial" w:hAnsi="Arial" w:cs="Arial"/>
          <w:sz w:val="22"/>
          <w:szCs w:val="22"/>
        </w:rPr>
        <w:t>.</w:t>
      </w:r>
    </w:p>
    <w:p>
      <w:pPr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Dentist performs hand hygiene and puts on examination gloves prior to performing the procedure</w:t>
      </w:r>
      <w:r>
        <w:rPr>
          <w:rFonts w:ascii="Arial" w:eastAsia="Arial" w:hAnsi="Arial" w:cs="Arial"/>
          <w:sz w:val="22"/>
          <w:szCs w:val="22"/>
        </w:rPr>
        <w:t>.</w:t>
      </w:r>
    </w:p>
    <w:p>
      <w:pPr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When the Dentist leaves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z w:val="22"/>
          <w:szCs w:val="22"/>
        </w:rPr>
        <w:t>room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they should remove gloves and perform hand hygiene</w:t>
      </w:r>
      <w:r>
        <w:rPr>
          <w:rFonts w:ascii="Arial" w:eastAsia="Arial" w:hAnsi="Arial" w:cs="Arial"/>
          <w:sz w:val="22"/>
          <w:szCs w:val="22"/>
        </w:rPr>
        <w:t>.</w:t>
      </w:r>
    </w:p>
    <w:p>
      <w:pPr>
        <w:numPr>
          <w:ilvl w:val="1"/>
          <w:numId w:val="1"/>
        </w:numPr>
        <w:pBdr>
          <w:left w:val="none" w:sz="0" w:space="7" w:color="auto"/>
        </w:pBdr>
        <w:spacing w:line="257" w:lineRule="auto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If not seeing another patient they must doff the PPE prior to returning to non-clinical area </w:t>
      </w:r>
    </w:p>
    <w:p>
      <w:pPr>
        <w:numPr>
          <w:ilvl w:val="1"/>
          <w:numId w:val="1"/>
        </w:numPr>
        <w:pBdr>
          <w:left w:val="none" w:sz="0" w:space="7" w:color="auto"/>
        </w:pBdr>
        <w:spacing w:line="257" w:lineRule="auto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If seeing another patient, the dentist may proceed to another room and repeat step 5.</w:t>
      </w:r>
    </w:p>
    <w:p>
      <w:pPr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Upon completing</w:t>
      </w:r>
      <w:r>
        <w:rPr>
          <w:rFonts w:ascii="Arial" w:eastAsia="Arial" w:hAnsi="Arial" w:cs="Arial"/>
          <w:sz w:val="22"/>
          <w:szCs w:val="22"/>
        </w:rPr>
        <w:t xml:space="preserve"> the procedure remove gloves and perform hand hygiene</w:t>
      </w:r>
      <w:r>
        <w:rPr>
          <w:rFonts w:ascii="Arial" w:eastAsia="Arial" w:hAnsi="Arial" w:cs="Arial"/>
          <w:sz w:val="22"/>
          <w:szCs w:val="22"/>
        </w:rPr>
        <w:t>.</w:t>
      </w:r>
    </w:p>
    <w:p>
      <w:pPr>
        <w:keepNext/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paperwork should be completed in the non-clinical areas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>
      <w:pPr>
        <w:keepNext/>
        <w:numPr>
          <w:ilvl w:val="1"/>
          <w:numId w:val="1"/>
        </w:numPr>
        <w:pBdr>
          <w:left w:val="none" w:sz="0" w:space="7" w:color="auto"/>
        </w:pBdr>
        <w:spacing w:line="257" w:lineRule="auto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Any printed documentation should be sent to the non-clinical area where the patient can receive it. </w:t>
      </w:r>
    </w:p>
    <w:p>
      <w:pPr>
        <w:numPr>
          <w:ilvl w:val="0"/>
          <w:numId w:val="1"/>
        </w:numPr>
        <w:pBdr>
          <w:left w:val="none" w:sz="0" w:space="3" w:color="auto"/>
        </w:pBdr>
        <w:spacing w:line="257" w:lineRule="auto"/>
        <w:ind w:left="720" w:right="0" w:hanging="34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Escort the patient to the front desk t</w:t>
      </w:r>
      <w:r>
        <w:rPr>
          <w:rFonts w:ascii="Arial" w:eastAsia="Arial" w:hAnsi="Arial" w:cs="Arial"/>
          <w:sz w:val="22"/>
          <w:szCs w:val="22"/>
        </w:rPr>
        <w:t>o collect any paperwork (referrals, treatment plans, radiographs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tc</w:t>
      </w:r>
      <w:r>
        <w:rPr>
          <w:rFonts w:ascii="Arial" w:eastAsia="Arial" w:hAnsi="Arial" w:cs="Arial"/>
          <w:sz w:val="22"/>
          <w:szCs w:val="22"/>
        </w:rPr>
        <w:t>.) and inform them that one of the PSR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will get them ready for their next appointment.</w:t>
      </w:r>
    </w:p>
    <w:p>
      <w:pPr>
        <w:numPr>
          <w:ilvl w:val="0"/>
          <w:numId w:val="1"/>
        </w:numPr>
        <w:spacing w:line="257" w:lineRule="auto"/>
        <w:ind w:left="720" w:right="0" w:hanging="375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Perform hand hygiene and put on examination gloves to sanitize the dental operatory.</w:t>
      </w:r>
    </w:p>
    <w:p>
      <w:pPr>
        <w:numPr>
          <w:ilvl w:val="0"/>
          <w:numId w:val="1"/>
        </w:numPr>
        <w:spacing w:after="0" w:line="257" w:lineRule="auto"/>
        <w:ind w:left="720" w:right="0" w:hanging="375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the clinica</w:t>
      </w:r>
      <w:r>
        <w:rPr>
          <w:rFonts w:ascii="Arial" w:eastAsia="Arial" w:hAnsi="Arial" w:cs="Arial"/>
          <w:sz w:val="22"/>
          <w:szCs w:val="22"/>
        </w:rPr>
        <w:t>l staff does not have another patient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they can now doff the PPE as prescribed in the HealthLinc PPE donning and doffing protocol. </w:t>
      </w:r>
    </w:p>
    <w:p>
      <w:pPr>
        <w:numPr>
          <w:ilvl w:val="0"/>
          <w:numId w:val="2"/>
        </w:numPr>
        <w:pBdr>
          <w:left w:val="none" w:sz="0" w:space="6" w:color="auto"/>
        </w:pBdr>
        <w:spacing w:before="0" w:after="0"/>
        <w:ind w:left="1368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calling another patient into the clinic continue from step 2.</w:t>
      </w:r>
    </w:p>
    <w:p>
      <w:pPr>
        <w:spacing w:before="0" w:after="0"/>
        <w:ind w:left="54" w:hanging="54"/>
      </w:pPr>
    </w:p>
    <w:p>
      <w:pPr>
        <w:spacing w:before="0" w:after="0"/>
      </w:pPr>
      <w:r>
        <w:rPr>
          <w:rFonts w:ascii="Arial" w:eastAsia="Arial" w:hAnsi="Arial" w:cs="Arial"/>
          <w:b/>
          <w:bCs/>
        </w:rPr>
        <w:t>RELATED P</w:t>
      </w:r>
      <w:r>
        <w:rPr>
          <w:rFonts w:ascii="Arial" w:eastAsia="Arial" w:hAnsi="Arial" w:cs="Arial"/>
          <w:b/>
          <w:bCs/>
        </w:rPr>
        <w:t>OLICIES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 </w:t>
      </w:r>
      <w:hyperlink r:id="rId7" w:history="1">
        <w:r>
          <w:rPr>
            <w:rFonts w:ascii="Arial" w:eastAsia="Arial" w:hAnsi="Arial" w:cs="Arial"/>
            <w:color w:val="0563C1"/>
            <w:sz w:val="22"/>
            <w:szCs w:val="22"/>
            <w:u w:val="single" w:color="0563C1"/>
          </w:rPr>
          <w:t>PPE Donning and Doffing Procedure-Dental</w:t>
        </w:r>
      </w:hyperlink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>
      <w:pPr>
        <w:spacing w:before="0" w:after="0"/>
        <w:ind w:left="216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hyperlink r:id="rId8" w:history="1">
        <w:r>
          <w:rPr>
            <w:rFonts w:ascii="Arial" w:eastAsia="Arial" w:hAnsi="Arial" w:cs="Arial"/>
            <w:color w:val="0563C1"/>
            <w:sz w:val="22"/>
            <w:szCs w:val="22"/>
            <w:u w:val="single" w:color="0563C1"/>
          </w:rPr>
          <w:t>Best Practices for Dental Hand Hygiene Procedure</w:t>
        </w:r>
      </w:hyperlink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Arial" w:eastAsia="Arial" w:hAnsi="Arial" w:cs="Arial"/>
          <w:b/>
          <w:bCs/>
        </w:rPr>
        <w:t>RELATED FOR</w:t>
      </w:r>
      <w:r>
        <w:rPr>
          <w:rFonts w:ascii="Arial" w:eastAsia="Arial" w:hAnsi="Arial" w:cs="Arial"/>
          <w:b/>
          <w:bCs/>
        </w:rPr>
        <w:t>MS:</w:t>
      </w:r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eastAsia="Arial" w:hAnsi="Arial" w:cs="Arial"/>
          <w:b/>
          <w:bCs/>
        </w:rPr>
        <w:t>NONE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9"/>
      <w:footerReference w:type="default" r:id="rId10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HealthLinc, Inc. © 2020</w:t>
    </w:r>
  </w:p>
  <w:p>
    <w:pPr>
      <w:tabs>
        <w:tab w:val="center" w:pos="4680"/>
      </w:tabs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yperlink" Target="https://healthlincchc.policytech.com/docview/?docid=3164" TargetMode="External" /><Relationship Id="rId8" Type="http://schemas.openxmlformats.org/officeDocument/2006/relationships/hyperlink" Target="https://healthlincchc.policytech.com/docview/?docid=1907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