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3" w:type="dxa"/>
        <w:tblCellMar>
          <w:left w:w="0" w:type="dxa"/>
          <w:right w:w="0" w:type="dxa"/>
        </w:tblCellMar>
        <w:tblLook w:val="04A0" w:firstRow="1" w:lastRow="0" w:firstColumn="1" w:lastColumn="0" w:noHBand="0" w:noVBand="1"/>
      </w:tblPr>
      <w:tblGrid>
        <w:gridCol w:w="3017"/>
        <w:gridCol w:w="3475"/>
        <w:gridCol w:w="3475"/>
      </w:tblGrid>
      <w:tr w:rsidR="00AF270E" w:rsidRPr="00AF270E">
        <w:trPr>
          <w:trHeight w:val="1440"/>
        </w:trPr>
        <w:tc>
          <w:tcPr>
            <w:tcW w:w="3050" w:type="dxa"/>
            <w:tcMar>
              <w:top w:w="5" w:type="dxa"/>
              <w:left w:w="113" w:type="dxa"/>
              <w:bottom w:w="5" w:type="dxa"/>
              <w:right w:w="113" w:type="dxa"/>
            </w:tcMar>
            <w:hideMark/>
          </w:tcPr>
          <w:p w:rsidR="0048133A" w:rsidRPr="00AF270E" w:rsidRDefault="00F23C63">
            <w:pPr>
              <w:rPr>
                <w:sz w:val="22"/>
                <w:szCs w:val="22"/>
              </w:rPr>
            </w:pPr>
            <w:r w:rsidRPr="00AF270E">
              <w:rPr>
                <w:noProof/>
                <w:sz w:val="22"/>
                <w:szCs w:val="22"/>
              </w:rPr>
              <w:drawing>
                <wp:anchor distT="0" distB="0" distL="114300" distR="114300" simplePos="0" relativeHeight="251657216" behindDoc="0" locked="0" layoutInCell="1" allowOverlap="1">
                  <wp:simplePos x="0" y="0"/>
                  <wp:positionH relativeFrom="column">
                    <wp:posOffset>-75565</wp:posOffset>
                  </wp:positionH>
                  <wp:positionV relativeFrom="paragraph">
                    <wp:posOffset>5080</wp:posOffset>
                  </wp:positionV>
                  <wp:extent cx="2019300" cy="590550"/>
                  <wp:effectExtent l="0" t="0" r="0" b="0"/>
                  <wp:wrapNone/>
                  <wp:docPr id="100001" name="Picture 100001" descr="https://nachccom-5.sharepoint.microsoftonline.com/Communications%20Publishing%20Guide%20and%20Templates/NACH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2019300" cy="590550"/>
                          </a:xfrm>
                          <a:prstGeom prst="rect">
                            <a:avLst/>
                          </a:prstGeom>
                        </pic:spPr>
                      </pic:pic>
                    </a:graphicData>
                  </a:graphic>
                </wp:anchor>
              </w:drawing>
            </w:r>
          </w:p>
          <w:p w:rsidR="0048133A" w:rsidRPr="00AF270E" w:rsidRDefault="0048133A">
            <w:pPr>
              <w:rPr>
                <w:sz w:val="22"/>
                <w:szCs w:val="22"/>
              </w:rPr>
            </w:pPr>
          </w:p>
          <w:p w:rsidR="0048133A" w:rsidRPr="00AF270E" w:rsidRDefault="0048133A">
            <w:pPr>
              <w:rPr>
                <w:sz w:val="22"/>
                <w:szCs w:val="22"/>
              </w:rPr>
            </w:pPr>
          </w:p>
          <w:p w:rsidR="0048133A" w:rsidRPr="00AF270E" w:rsidRDefault="0048133A">
            <w:pPr>
              <w:rPr>
                <w:sz w:val="22"/>
                <w:szCs w:val="22"/>
              </w:rPr>
            </w:pPr>
          </w:p>
          <w:p w:rsidR="0048133A" w:rsidRPr="00AF270E" w:rsidRDefault="0048133A">
            <w:pPr>
              <w:rPr>
                <w:sz w:val="22"/>
                <w:szCs w:val="22"/>
              </w:rPr>
            </w:pPr>
          </w:p>
          <w:p w:rsidR="0048133A" w:rsidRPr="00AF270E" w:rsidRDefault="0048133A">
            <w:pPr>
              <w:rPr>
                <w:sz w:val="22"/>
                <w:szCs w:val="22"/>
              </w:rPr>
            </w:pPr>
          </w:p>
          <w:p w:rsidR="0048133A" w:rsidRPr="00AF270E" w:rsidRDefault="0048133A">
            <w:pPr>
              <w:rPr>
                <w:sz w:val="22"/>
                <w:szCs w:val="22"/>
              </w:rPr>
            </w:pPr>
          </w:p>
        </w:tc>
        <w:tc>
          <w:tcPr>
            <w:tcW w:w="3515" w:type="dxa"/>
            <w:tcMar>
              <w:top w:w="5" w:type="dxa"/>
              <w:left w:w="113" w:type="dxa"/>
              <w:bottom w:w="5" w:type="dxa"/>
              <w:right w:w="113" w:type="dxa"/>
            </w:tcMar>
          </w:tcPr>
          <w:p w:rsidR="0048133A" w:rsidRPr="00AF270E" w:rsidRDefault="0048133A">
            <w:pPr>
              <w:jc w:val="right"/>
              <w:rPr>
                <w:sz w:val="22"/>
                <w:szCs w:val="22"/>
              </w:rPr>
            </w:pPr>
          </w:p>
        </w:tc>
        <w:tc>
          <w:tcPr>
            <w:tcW w:w="3515" w:type="dxa"/>
            <w:tcMar>
              <w:top w:w="5" w:type="dxa"/>
              <w:left w:w="113" w:type="dxa"/>
              <w:bottom w:w="5" w:type="dxa"/>
              <w:right w:w="113" w:type="dxa"/>
            </w:tcMar>
          </w:tcPr>
          <w:p w:rsidR="0048133A" w:rsidRPr="00AF270E" w:rsidRDefault="0048133A">
            <w:pPr>
              <w:jc w:val="right"/>
              <w:rPr>
                <w:sz w:val="22"/>
                <w:szCs w:val="22"/>
              </w:rPr>
            </w:pPr>
          </w:p>
        </w:tc>
      </w:tr>
    </w:tbl>
    <w:p w:rsidR="0048133A" w:rsidRPr="00AF270E" w:rsidRDefault="00F23C63">
      <w:pPr>
        <w:jc w:val="center"/>
        <w:rPr>
          <w:sz w:val="36"/>
          <w:szCs w:val="36"/>
        </w:rPr>
      </w:pPr>
      <w:r w:rsidRPr="00AF270E">
        <w:rPr>
          <w:rFonts w:ascii="Calibri" w:eastAsia="Calibri" w:hAnsi="Calibri" w:cs="Calibri"/>
          <w:b/>
          <w:bCs/>
          <w:sz w:val="36"/>
          <w:szCs w:val="36"/>
        </w:rPr>
        <w:t>Billing for Care Management Services</w:t>
      </w:r>
    </w:p>
    <w:p w:rsidR="0048133A" w:rsidRPr="00AF270E" w:rsidRDefault="00F23C63">
      <w:pPr>
        <w:jc w:val="center"/>
      </w:pPr>
      <w:r w:rsidRPr="00AF270E">
        <w:rPr>
          <w:rFonts w:ascii="Calibri" w:eastAsia="Calibri" w:hAnsi="Calibri" w:cs="Calibri"/>
        </w:rPr>
        <w:t xml:space="preserve"> (CMS) Chronic Care Management (CCM) Services</w:t>
      </w:r>
    </w:p>
    <w:p w:rsidR="0048133A" w:rsidRPr="00AF270E" w:rsidRDefault="0048133A">
      <w:pPr>
        <w:spacing w:after="160" w:line="259" w:lineRule="auto"/>
        <w:jc w:val="center"/>
        <w:rPr>
          <w:sz w:val="22"/>
          <w:szCs w:val="22"/>
        </w:rPr>
      </w:pPr>
    </w:p>
    <w:tbl>
      <w:tblPr>
        <w:tblW w:w="10075" w:type="dxa"/>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05"/>
        <w:gridCol w:w="1110"/>
        <w:gridCol w:w="1160"/>
      </w:tblGrid>
      <w:tr w:rsidR="00AF270E" w:rsidRPr="00AF270E">
        <w:tc>
          <w:tcPr>
            <w:tcW w:w="7805" w:type="dxa"/>
            <w:tcBorders>
              <w:bottom w:val="single" w:sz="6" w:space="0" w:color="000000"/>
              <w:right w:val="single" w:sz="6" w:space="0" w:color="000000"/>
            </w:tcBorders>
            <w:shd w:val="clear" w:color="auto" w:fill="9CC2E5"/>
            <w:tcMar>
              <w:top w:w="8" w:type="dxa"/>
              <w:left w:w="108" w:type="dxa"/>
              <w:bottom w:w="8" w:type="dxa"/>
              <w:right w:w="108" w:type="dxa"/>
            </w:tcMar>
            <w:hideMark/>
          </w:tcPr>
          <w:p w:rsidR="0048133A" w:rsidRPr="00AF270E" w:rsidRDefault="00F23C63">
            <w:r w:rsidRPr="00AF270E">
              <w:rPr>
                <w:rFonts w:ascii="Calibri" w:eastAsia="Calibri" w:hAnsi="Calibri" w:cs="Calibri"/>
                <w:b/>
                <w:bCs/>
              </w:rPr>
              <w:t xml:space="preserve">Checklist/Requirements to </w:t>
            </w:r>
            <w:r w:rsidR="00573191">
              <w:rPr>
                <w:rFonts w:ascii="Calibri" w:eastAsia="Calibri" w:hAnsi="Calibri" w:cs="Calibri"/>
                <w:b/>
                <w:bCs/>
              </w:rPr>
              <w:t>B</w:t>
            </w:r>
            <w:r w:rsidRPr="00AF270E">
              <w:rPr>
                <w:rFonts w:ascii="Calibri" w:eastAsia="Calibri" w:hAnsi="Calibri" w:cs="Calibri"/>
                <w:b/>
                <w:bCs/>
              </w:rPr>
              <w:t>ill for CCM</w:t>
            </w:r>
          </w:p>
        </w:tc>
        <w:tc>
          <w:tcPr>
            <w:tcW w:w="1110" w:type="dxa"/>
            <w:tcBorders>
              <w:left w:val="single" w:sz="6" w:space="0" w:color="000000"/>
              <w:bottom w:val="single" w:sz="6" w:space="0" w:color="000000"/>
              <w:right w:val="single" w:sz="6" w:space="0" w:color="000000"/>
            </w:tcBorders>
            <w:shd w:val="clear" w:color="auto" w:fill="9CC2E5"/>
            <w:tcMar>
              <w:top w:w="8" w:type="dxa"/>
              <w:left w:w="108" w:type="dxa"/>
              <w:bottom w:w="8" w:type="dxa"/>
              <w:right w:w="108" w:type="dxa"/>
            </w:tcMar>
            <w:hideMark/>
          </w:tcPr>
          <w:p w:rsidR="0048133A" w:rsidRPr="00AF270E" w:rsidRDefault="00F23C63">
            <w:pPr>
              <w:jc w:val="center"/>
              <w:rPr>
                <w:sz w:val="20"/>
                <w:szCs w:val="20"/>
              </w:rPr>
            </w:pPr>
            <w:r w:rsidRPr="00AF270E">
              <w:rPr>
                <w:rFonts w:ascii="Calibri" w:eastAsia="Calibri" w:hAnsi="Calibri" w:cs="Calibri"/>
                <w:sz w:val="20"/>
                <w:szCs w:val="20"/>
              </w:rPr>
              <w:t>Completed</w:t>
            </w:r>
          </w:p>
          <w:p w:rsidR="0048133A" w:rsidRPr="00AF270E" w:rsidRDefault="00F23C63">
            <w:pPr>
              <w:jc w:val="center"/>
              <w:rPr>
                <w:sz w:val="20"/>
                <w:szCs w:val="20"/>
              </w:rPr>
            </w:pPr>
            <w:r w:rsidRPr="00AF270E">
              <w:rPr>
                <w:rFonts w:ascii="Calibri" w:eastAsia="Calibri" w:hAnsi="Calibri" w:cs="Calibri"/>
                <w:sz w:val="20"/>
                <w:szCs w:val="20"/>
              </w:rPr>
              <w:t>‘</w:t>
            </w:r>
            <w:r w:rsidRPr="00AF270E">
              <w:rPr>
                <w:rFonts w:ascii="Calibri" w:eastAsia="Calibri" w:hAnsi="Calibri" w:cs="Calibri"/>
                <w:b/>
                <w:bCs/>
                <w:i/>
                <w:iCs/>
                <w:sz w:val="20"/>
                <w:szCs w:val="20"/>
              </w:rPr>
              <w:t>Yes</w:t>
            </w:r>
            <w:r w:rsidRPr="00AF270E">
              <w:rPr>
                <w:rFonts w:ascii="Calibri" w:eastAsia="Calibri" w:hAnsi="Calibri" w:cs="Calibri"/>
                <w:sz w:val="20"/>
                <w:szCs w:val="20"/>
              </w:rPr>
              <w:t>’</w:t>
            </w:r>
          </w:p>
        </w:tc>
        <w:tc>
          <w:tcPr>
            <w:tcW w:w="1160" w:type="dxa"/>
            <w:tcBorders>
              <w:left w:val="single" w:sz="6" w:space="0" w:color="000000"/>
              <w:bottom w:val="single" w:sz="6" w:space="0" w:color="000000"/>
            </w:tcBorders>
            <w:shd w:val="clear" w:color="auto" w:fill="9CC2E5"/>
            <w:tcMar>
              <w:top w:w="8" w:type="dxa"/>
              <w:left w:w="108" w:type="dxa"/>
              <w:bottom w:w="8" w:type="dxa"/>
              <w:right w:w="108" w:type="dxa"/>
            </w:tcMar>
            <w:hideMark/>
          </w:tcPr>
          <w:p w:rsidR="0048133A" w:rsidRPr="00AF270E" w:rsidRDefault="00F23C63">
            <w:pPr>
              <w:jc w:val="center"/>
              <w:rPr>
                <w:sz w:val="20"/>
                <w:szCs w:val="20"/>
              </w:rPr>
            </w:pPr>
            <w:r w:rsidRPr="00AF270E">
              <w:rPr>
                <w:rFonts w:ascii="Calibri" w:eastAsia="Calibri" w:hAnsi="Calibri" w:cs="Calibri"/>
                <w:sz w:val="20"/>
                <w:szCs w:val="20"/>
              </w:rPr>
              <w:t>Missing</w:t>
            </w:r>
          </w:p>
          <w:p w:rsidR="0048133A" w:rsidRPr="00AF270E" w:rsidRDefault="00F23C63">
            <w:pPr>
              <w:jc w:val="center"/>
              <w:rPr>
                <w:sz w:val="20"/>
                <w:szCs w:val="20"/>
              </w:rPr>
            </w:pPr>
            <w:r w:rsidRPr="00AF270E">
              <w:rPr>
                <w:rFonts w:ascii="Calibri" w:eastAsia="Calibri" w:hAnsi="Calibri" w:cs="Calibri"/>
                <w:sz w:val="20"/>
                <w:szCs w:val="20"/>
              </w:rPr>
              <w:t>‘</w:t>
            </w:r>
            <w:r w:rsidRPr="00AF270E">
              <w:rPr>
                <w:rFonts w:ascii="Calibri" w:eastAsia="Calibri" w:hAnsi="Calibri" w:cs="Calibri"/>
                <w:b/>
                <w:bCs/>
                <w:i/>
                <w:iCs/>
                <w:sz w:val="20"/>
                <w:szCs w:val="20"/>
              </w:rPr>
              <w:t>No</w:t>
            </w:r>
            <w:r w:rsidRPr="00AF270E">
              <w:rPr>
                <w:rFonts w:ascii="Calibri" w:eastAsia="Calibri" w:hAnsi="Calibri" w:cs="Calibri"/>
                <w:sz w:val="20"/>
                <w:szCs w:val="20"/>
              </w:rPr>
              <w:t>’</w:t>
            </w: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Initiating Visit</w:t>
            </w:r>
            <w:r w:rsidRPr="00AF270E">
              <w:rPr>
                <w:rFonts w:ascii="Calibri" w:eastAsia="Calibri" w:hAnsi="Calibri" w:cs="Calibri"/>
                <w:sz w:val="20"/>
                <w:szCs w:val="20"/>
              </w:rPr>
              <w:t xml:space="preserve">.  An Evaluation Management (E/M), Annual Wellness Visit (AWV), or </w:t>
            </w:r>
            <w:r w:rsidRPr="00AF270E">
              <w:rPr>
                <w:rFonts w:ascii="Calibri" w:eastAsia="Calibri" w:hAnsi="Calibri" w:cs="Calibri"/>
                <w:sz w:val="20"/>
                <w:szCs w:val="20"/>
              </w:rPr>
              <w:t>Initial Preventive Physical Examination (IPPE) visit furnished by a FQHC employed MD, DO, NP, PA, or CNM occurring not more than one-year prior to commencing care coordination services.</w:t>
            </w:r>
            <w:r w:rsidRPr="00AF270E">
              <w:rPr>
                <w:rFonts w:ascii="Calibri" w:eastAsia="Calibri" w:hAnsi="Calibri" w:cs="Calibri"/>
                <w:sz w:val="20"/>
                <w:szCs w:val="20"/>
                <w:vertAlign w:val="superscript"/>
              </w:rPr>
              <w:endnoteReference w:id="1"/>
            </w:r>
            <w:r w:rsidRPr="00AF270E">
              <w:rPr>
                <w:rFonts w:ascii="Calibri" w:eastAsia="Calibri" w:hAnsi="Calibri" w:cs="Calibri"/>
                <w:sz w:val="20"/>
                <w:szCs w:val="20"/>
              </w:rPr>
              <w:t xml:space="preserve"> </w:t>
            </w: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spacing w:line="259" w:lineRule="auto"/>
              <w:rPr>
                <w:sz w:val="22"/>
                <w:szCs w:val="22"/>
              </w:rPr>
            </w:pPr>
            <w:r w:rsidRPr="00AF270E">
              <w:rPr>
                <w:rFonts w:ascii="Calibri" w:eastAsia="Calibri" w:hAnsi="Calibri" w:cs="Calibri"/>
                <w:b/>
                <w:bCs/>
                <w:sz w:val="22"/>
                <w:szCs w:val="22"/>
              </w:rPr>
              <w:t>Beneficiary Consent</w:t>
            </w:r>
            <w:r w:rsidRPr="00AF270E">
              <w:rPr>
                <w:rFonts w:ascii="Calibri" w:eastAsia="Calibri" w:hAnsi="Calibri" w:cs="Calibri"/>
                <w:sz w:val="20"/>
                <w:szCs w:val="20"/>
              </w:rPr>
              <w:t>.  O</w:t>
            </w:r>
            <w:r w:rsidRPr="00AF270E">
              <w:rPr>
                <w:rFonts w:ascii="Calibri" w:eastAsia="Calibri" w:hAnsi="Calibri" w:cs="Calibri"/>
                <w:sz w:val="20"/>
                <w:szCs w:val="20"/>
              </w:rPr>
              <w:t xml:space="preserve">btained during or after the initiating visit and before provision of care coordination services by clinical staff; consent can be written or verbal, but must be documented in the medical record and include: </w:t>
            </w:r>
          </w:p>
          <w:p w:rsidR="0048133A" w:rsidRPr="00AF270E" w:rsidRDefault="00F23C63">
            <w:pPr>
              <w:numPr>
                <w:ilvl w:val="0"/>
                <w:numId w:val="1"/>
              </w:numPr>
              <w:pBdr>
                <w:left w:val="none" w:sz="0" w:space="3" w:color="auto"/>
              </w:pBdr>
              <w:spacing w:line="259" w:lineRule="auto"/>
              <w:ind w:left="780" w:hanging="316"/>
              <w:rPr>
                <w:sz w:val="20"/>
                <w:szCs w:val="20"/>
              </w:rPr>
            </w:pPr>
            <w:r w:rsidRPr="00AF270E">
              <w:rPr>
                <w:rFonts w:ascii="Calibri" w:eastAsia="Calibri" w:hAnsi="Calibri" w:cs="Calibri"/>
                <w:sz w:val="20"/>
                <w:szCs w:val="20"/>
              </w:rPr>
              <w:t>Availability of care coordination services and a</w:t>
            </w:r>
            <w:r w:rsidRPr="00AF270E">
              <w:rPr>
                <w:rFonts w:ascii="Calibri" w:eastAsia="Calibri" w:hAnsi="Calibri" w:cs="Calibri"/>
                <w:sz w:val="20"/>
                <w:szCs w:val="20"/>
              </w:rPr>
              <w:t>pplicable cost-sharing</w:t>
            </w:r>
          </w:p>
          <w:p w:rsidR="0048133A" w:rsidRPr="00AF270E" w:rsidRDefault="00F23C63">
            <w:pPr>
              <w:numPr>
                <w:ilvl w:val="0"/>
                <w:numId w:val="1"/>
              </w:numPr>
              <w:pBdr>
                <w:left w:val="none" w:sz="0" w:space="3" w:color="auto"/>
              </w:pBdr>
              <w:spacing w:line="259" w:lineRule="auto"/>
              <w:ind w:left="780" w:hanging="316"/>
              <w:rPr>
                <w:sz w:val="20"/>
                <w:szCs w:val="20"/>
              </w:rPr>
            </w:pPr>
            <w:r w:rsidRPr="00AF270E">
              <w:rPr>
                <w:rFonts w:ascii="Calibri" w:eastAsia="Calibri" w:hAnsi="Calibri" w:cs="Calibri"/>
                <w:sz w:val="20"/>
                <w:szCs w:val="20"/>
              </w:rPr>
              <w:t xml:space="preserve">Advise that only one practitioner can furnish and be paid for care coordination services during a calendar month </w:t>
            </w:r>
          </w:p>
          <w:p w:rsidR="0048133A" w:rsidRPr="00AF270E" w:rsidRDefault="00F23C63">
            <w:pPr>
              <w:numPr>
                <w:ilvl w:val="0"/>
                <w:numId w:val="1"/>
              </w:numPr>
              <w:pBdr>
                <w:left w:val="none" w:sz="0" w:space="3" w:color="auto"/>
              </w:pBdr>
              <w:spacing w:line="259" w:lineRule="auto"/>
              <w:ind w:left="780" w:hanging="316"/>
              <w:rPr>
                <w:sz w:val="20"/>
                <w:szCs w:val="20"/>
              </w:rPr>
            </w:pPr>
            <w:r w:rsidRPr="00AF270E">
              <w:rPr>
                <w:rFonts w:ascii="Calibri" w:eastAsia="Calibri" w:hAnsi="Calibri" w:cs="Calibri"/>
                <w:sz w:val="20"/>
                <w:szCs w:val="20"/>
              </w:rPr>
              <w:t xml:space="preserve">Communicate patient right to stop care coordination services at any time (effective at the end of the calendar month) </w:t>
            </w:r>
          </w:p>
          <w:p w:rsidR="0048133A" w:rsidRPr="00AF270E" w:rsidRDefault="00F23C63">
            <w:pPr>
              <w:numPr>
                <w:ilvl w:val="0"/>
                <w:numId w:val="1"/>
              </w:numPr>
              <w:pBdr>
                <w:left w:val="none" w:sz="0" w:space="3" w:color="auto"/>
              </w:pBdr>
              <w:spacing w:after="160" w:line="259" w:lineRule="auto"/>
              <w:ind w:left="780" w:hanging="316"/>
              <w:rPr>
                <w:sz w:val="20"/>
                <w:szCs w:val="20"/>
              </w:rPr>
            </w:pPr>
            <w:r w:rsidRPr="00AF270E">
              <w:rPr>
                <w:rFonts w:ascii="Calibri" w:eastAsia="Calibri" w:hAnsi="Calibri" w:cs="Calibri"/>
                <w:sz w:val="20"/>
                <w:szCs w:val="20"/>
              </w:rPr>
              <w:t>P</w:t>
            </w:r>
            <w:r w:rsidRPr="00AF270E">
              <w:rPr>
                <w:rFonts w:ascii="Calibri" w:eastAsia="Calibri" w:hAnsi="Calibri" w:cs="Calibri"/>
                <w:sz w:val="20"/>
                <w:szCs w:val="20"/>
              </w:rPr>
              <w:t>atient permission to consult with relevant specialists.</w:t>
            </w: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Patient Eligibility</w:t>
            </w:r>
            <w:r w:rsidRPr="00AF270E">
              <w:rPr>
                <w:rFonts w:ascii="Calibri" w:eastAsia="Calibri" w:hAnsi="Calibri" w:cs="Calibri"/>
                <w:b/>
                <w:bCs/>
                <w:sz w:val="20"/>
                <w:szCs w:val="20"/>
              </w:rPr>
              <w:t xml:space="preserve">.  </w:t>
            </w:r>
            <w:r w:rsidRPr="00AF270E">
              <w:rPr>
                <w:rFonts w:ascii="Calibri" w:eastAsia="Calibri" w:hAnsi="Calibri" w:cs="Calibri"/>
                <w:sz w:val="20"/>
                <w:szCs w:val="20"/>
              </w:rPr>
              <w:t>Presence of multiple (two or more) chronic conditions expected to last at least 12 months or until the death of the patient, and/or place the patient at significant r</w:t>
            </w:r>
            <w:r w:rsidRPr="00AF270E">
              <w:rPr>
                <w:rFonts w:ascii="Calibri" w:eastAsia="Calibri" w:hAnsi="Calibri" w:cs="Calibri"/>
                <w:sz w:val="20"/>
                <w:szCs w:val="20"/>
              </w:rPr>
              <w:t>isk of death, acute exacerbation/ decompensation, or functional decline.</w:t>
            </w: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Care Coordination Services</w:t>
            </w:r>
            <w:r w:rsidRPr="00AF270E">
              <w:rPr>
                <w:rFonts w:ascii="Calibri" w:eastAsia="Calibri" w:hAnsi="Calibri" w:cs="Calibri"/>
                <w:sz w:val="20"/>
                <w:szCs w:val="20"/>
              </w:rPr>
              <w:t>.  Documentation of 20 or more minutes of care coordination services furnished in the calendar month (a) under the direction of the FQHC</w:t>
            </w:r>
            <w:r w:rsidRPr="00AF270E">
              <w:rPr>
                <w:rFonts w:ascii="Calibri" w:eastAsia="Calibri" w:hAnsi="Calibri" w:cs="Calibri"/>
                <w:sz w:val="20"/>
                <w:szCs w:val="20"/>
              </w:rPr>
              <w:t xml:space="preserve"> employed practitioner (i.e., MD, DO, NP, PA, or CNM), and (b) by an FQHC practitioner, or by clinical personnel under general supervision.</w:t>
            </w:r>
            <w:r w:rsidRPr="00AF270E">
              <w:rPr>
                <w:rFonts w:ascii="Calibri" w:eastAsia="Calibri" w:hAnsi="Calibri" w:cs="Calibri"/>
                <w:sz w:val="20"/>
                <w:szCs w:val="20"/>
              </w:rPr>
              <w:t xml:space="preserve"> State law, licensure, and scope of practice definitions must be considered for non-primary care service providers.</w:t>
            </w: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Electronic Health Record Documentation</w:t>
            </w:r>
            <w:r w:rsidRPr="00AF270E">
              <w:rPr>
                <w:rFonts w:ascii="Calibri" w:eastAsia="Calibri" w:hAnsi="Calibri" w:cs="Calibri"/>
                <w:sz w:val="20"/>
                <w:szCs w:val="20"/>
              </w:rPr>
              <w:t xml:space="preserve">.  Structured recording of patient health information using </w:t>
            </w:r>
            <w:r w:rsidRPr="00AF270E">
              <w:rPr>
                <w:rFonts w:ascii="Calibri" w:eastAsia="Calibri" w:hAnsi="Calibri" w:cs="Calibri"/>
                <w:sz w:val="20"/>
                <w:szCs w:val="20"/>
                <w:u w:val="single" w:color="000000"/>
              </w:rPr>
              <w:t>Certified</w:t>
            </w:r>
            <w:r w:rsidRPr="00AF270E">
              <w:rPr>
                <w:rFonts w:ascii="Calibri" w:eastAsia="Calibri" w:hAnsi="Calibri" w:cs="Calibri"/>
                <w:sz w:val="20"/>
                <w:szCs w:val="20"/>
              </w:rPr>
              <w:t xml:space="preserve"> EHR Technology; includes demographics, problems, medications, and medication allergies that inform the care plan, care coordination, and ongoing </w:t>
            </w:r>
            <w:r w:rsidRPr="00AF270E">
              <w:rPr>
                <w:rFonts w:ascii="Calibri" w:eastAsia="Calibri" w:hAnsi="Calibri" w:cs="Calibri"/>
                <w:sz w:val="20"/>
                <w:szCs w:val="20"/>
              </w:rPr>
              <w:t>clinical care</w:t>
            </w: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24/7 Access</w:t>
            </w:r>
            <w:r w:rsidRPr="00AF270E">
              <w:rPr>
                <w:rFonts w:ascii="Calibri" w:eastAsia="Calibri" w:hAnsi="Calibri" w:cs="Calibri"/>
                <w:sz w:val="20"/>
                <w:szCs w:val="20"/>
              </w:rPr>
              <w:t xml:space="preserve">.  Patient has 24/7 access to physicians or other qualified health care professionals or clinical staff and means to contact health care professionals in the practice to address urgent needs regardless of the time of day or day </w:t>
            </w:r>
            <w:r w:rsidRPr="00AF270E">
              <w:rPr>
                <w:rFonts w:ascii="Calibri" w:eastAsia="Calibri" w:hAnsi="Calibri" w:cs="Calibri"/>
                <w:sz w:val="20"/>
                <w:szCs w:val="20"/>
              </w:rPr>
              <w:t>of week.</w:t>
            </w: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Continuity of Care</w:t>
            </w:r>
            <w:r w:rsidRPr="00AF270E">
              <w:rPr>
                <w:rFonts w:ascii="Calibri" w:eastAsia="Calibri" w:hAnsi="Calibri" w:cs="Calibri"/>
                <w:sz w:val="20"/>
                <w:szCs w:val="20"/>
              </w:rPr>
              <w:t>.  Continuity of care with a designated member of the care team with whom the patient is able to schedule successive routine appointments.</w:t>
            </w:r>
          </w:p>
          <w:p w:rsidR="0048133A" w:rsidRPr="00AF270E" w:rsidRDefault="0048133A">
            <w:pPr>
              <w:rPr>
                <w:sz w:val="20"/>
                <w:szCs w:val="20"/>
              </w:rPr>
            </w:pP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Comprehensive Assessment</w:t>
            </w:r>
            <w:r w:rsidRPr="00AF270E">
              <w:rPr>
                <w:rFonts w:ascii="Calibri" w:eastAsia="Calibri" w:hAnsi="Calibri" w:cs="Calibri"/>
                <w:sz w:val="20"/>
                <w:szCs w:val="20"/>
              </w:rPr>
              <w:t xml:space="preserve">.  Comprehensive care management including </w:t>
            </w:r>
            <w:r w:rsidRPr="00AF270E">
              <w:rPr>
                <w:rFonts w:ascii="Calibri" w:eastAsia="Calibri" w:hAnsi="Calibri" w:cs="Calibri"/>
                <w:sz w:val="20"/>
                <w:szCs w:val="20"/>
              </w:rPr>
              <w:t>systematic assessment of the patient’s medical, functional, and psychosocial needs.</w:t>
            </w:r>
          </w:p>
          <w:p w:rsidR="0048133A" w:rsidRPr="00AF270E" w:rsidRDefault="0048133A">
            <w:pPr>
              <w:rPr>
                <w:sz w:val="20"/>
                <w:szCs w:val="20"/>
              </w:rPr>
            </w:pP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Preventive Care</w:t>
            </w:r>
            <w:r w:rsidRPr="00AF270E">
              <w:rPr>
                <w:rFonts w:ascii="Calibri" w:eastAsia="Calibri" w:hAnsi="Calibri" w:cs="Calibri"/>
                <w:sz w:val="20"/>
                <w:szCs w:val="20"/>
              </w:rPr>
              <w:t>.  System-based approaches to ensure timely receipt of all recommended preventive care services</w:t>
            </w:r>
          </w:p>
        </w:tc>
        <w:tc>
          <w:tcPr>
            <w:tcW w:w="1110" w:type="dxa"/>
            <w:tcBorders>
              <w:top w:val="single" w:sz="6" w:space="0" w:color="000000"/>
              <w:left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tcBorders>
            <w:tcMar>
              <w:top w:w="8" w:type="dxa"/>
              <w:left w:w="108" w:type="dxa"/>
              <w:bottom w:w="8" w:type="dxa"/>
              <w:right w:w="108" w:type="dxa"/>
            </w:tcMar>
          </w:tcPr>
          <w:p w:rsidR="0048133A" w:rsidRPr="00AF270E" w:rsidRDefault="0048133A">
            <w:pPr>
              <w:rPr>
                <w:sz w:val="20"/>
                <w:szCs w:val="20"/>
              </w:rPr>
            </w:pPr>
          </w:p>
        </w:tc>
      </w:tr>
    </w:tbl>
    <w:p w:rsidR="0048133A" w:rsidRPr="00AF270E" w:rsidRDefault="00F23C63">
      <w:pPr>
        <w:spacing w:after="160" w:line="259" w:lineRule="auto"/>
        <w:rPr>
          <w:sz w:val="22"/>
          <w:szCs w:val="22"/>
        </w:rPr>
      </w:pPr>
      <w:r w:rsidRPr="00AF270E">
        <w:rPr>
          <w:sz w:val="22"/>
          <w:szCs w:val="22"/>
        </w:rPr>
        <w:br w:type="page"/>
      </w:r>
    </w:p>
    <w:tbl>
      <w:tblPr>
        <w:tblW w:w="10075" w:type="dxa"/>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05"/>
        <w:gridCol w:w="1110"/>
        <w:gridCol w:w="1160"/>
      </w:tblGrid>
      <w:tr w:rsidR="00AF270E" w:rsidRPr="00AF270E">
        <w:tc>
          <w:tcPr>
            <w:tcW w:w="7805" w:type="dxa"/>
            <w:tcBorders>
              <w:bottom w:val="single" w:sz="6" w:space="0" w:color="000000"/>
              <w:right w:val="single" w:sz="6" w:space="0" w:color="000000"/>
            </w:tcBorders>
            <w:shd w:val="clear" w:color="auto" w:fill="9CC2E5"/>
            <w:tcMar>
              <w:top w:w="8" w:type="dxa"/>
              <w:left w:w="108" w:type="dxa"/>
              <w:bottom w:w="8" w:type="dxa"/>
              <w:right w:w="108" w:type="dxa"/>
            </w:tcMar>
            <w:hideMark/>
          </w:tcPr>
          <w:p w:rsidR="0048133A" w:rsidRPr="00AF270E" w:rsidRDefault="00F23C63">
            <w:r w:rsidRPr="00AF270E">
              <w:rPr>
                <w:rFonts w:ascii="Calibri" w:eastAsia="Calibri" w:hAnsi="Calibri" w:cs="Calibri"/>
                <w:b/>
                <w:bCs/>
              </w:rPr>
              <w:lastRenderedPageBreak/>
              <w:t>Checklist of FQHC Requirement</w:t>
            </w:r>
            <w:r w:rsidRPr="00AF270E">
              <w:rPr>
                <w:rFonts w:ascii="Calibri" w:eastAsia="Calibri" w:hAnsi="Calibri" w:cs="Calibri"/>
                <w:b/>
                <w:bCs/>
              </w:rPr>
              <w:t xml:space="preserve">s to Bill CMS for CCM </w:t>
            </w:r>
            <w:r w:rsidRPr="00AF270E">
              <w:rPr>
                <w:rFonts w:ascii="Calibri" w:eastAsia="Calibri" w:hAnsi="Calibri" w:cs="Calibri"/>
                <w:i/>
                <w:iCs/>
                <w:sz w:val="22"/>
                <w:szCs w:val="22"/>
              </w:rPr>
              <w:t>(page 2 of 2)</w:t>
            </w:r>
          </w:p>
        </w:tc>
        <w:tc>
          <w:tcPr>
            <w:tcW w:w="1110" w:type="dxa"/>
            <w:tcBorders>
              <w:left w:val="single" w:sz="6" w:space="0" w:color="000000"/>
              <w:bottom w:val="single" w:sz="6" w:space="0" w:color="000000"/>
              <w:right w:val="single" w:sz="6" w:space="0" w:color="000000"/>
            </w:tcBorders>
            <w:shd w:val="clear" w:color="auto" w:fill="9CC2E5"/>
            <w:tcMar>
              <w:top w:w="8" w:type="dxa"/>
              <w:left w:w="108" w:type="dxa"/>
              <w:bottom w:w="8" w:type="dxa"/>
              <w:right w:w="108" w:type="dxa"/>
            </w:tcMar>
            <w:hideMark/>
          </w:tcPr>
          <w:p w:rsidR="0048133A" w:rsidRPr="00AF270E" w:rsidRDefault="00F23C63">
            <w:pPr>
              <w:jc w:val="center"/>
              <w:rPr>
                <w:sz w:val="20"/>
                <w:szCs w:val="20"/>
              </w:rPr>
            </w:pPr>
            <w:r w:rsidRPr="00AF270E">
              <w:rPr>
                <w:rFonts w:ascii="Calibri" w:eastAsia="Calibri" w:hAnsi="Calibri" w:cs="Calibri"/>
                <w:sz w:val="20"/>
                <w:szCs w:val="20"/>
              </w:rPr>
              <w:t>Completed</w:t>
            </w:r>
          </w:p>
          <w:p w:rsidR="0048133A" w:rsidRPr="00AF270E" w:rsidRDefault="00F23C63">
            <w:pPr>
              <w:jc w:val="center"/>
              <w:rPr>
                <w:sz w:val="20"/>
                <w:szCs w:val="20"/>
              </w:rPr>
            </w:pPr>
            <w:r w:rsidRPr="00AF270E">
              <w:rPr>
                <w:rFonts w:ascii="Calibri" w:eastAsia="Calibri" w:hAnsi="Calibri" w:cs="Calibri"/>
                <w:sz w:val="20"/>
                <w:szCs w:val="20"/>
              </w:rPr>
              <w:t>‘</w:t>
            </w:r>
            <w:r w:rsidRPr="00AF270E">
              <w:rPr>
                <w:rFonts w:ascii="Calibri" w:eastAsia="Calibri" w:hAnsi="Calibri" w:cs="Calibri"/>
                <w:b/>
                <w:bCs/>
                <w:i/>
                <w:iCs/>
                <w:sz w:val="20"/>
                <w:szCs w:val="20"/>
              </w:rPr>
              <w:t>Yes</w:t>
            </w:r>
            <w:r w:rsidRPr="00AF270E">
              <w:rPr>
                <w:rFonts w:ascii="Calibri" w:eastAsia="Calibri" w:hAnsi="Calibri" w:cs="Calibri"/>
                <w:sz w:val="20"/>
                <w:szCs w:val="20"/>
              </w:rPr>
              <w:t>’</w:t>
            </w:r>
          </w:p>
        </w:tc>
        <w:tc>
          <w:tcPr>
            <w:tcW w:w="1160" w:type="dxa"/>
            <w:tcBorders>
              <w:left w:val="single" w:sz="6" w:space="0" w:color="000000"/>
              <w:bottom w:val="single" w:sz="6" w:space="0" w:color="000000"/>
            </w:tcBorders>
            <w:shd w:val="clear" w:color="auto" w:fill="9CC2E5"/>
            <w:tcMar>
              <w:top w:w="8" w:type="dxa"/>
              <w:left w:w="108" w:type="dxa"/>
              <w:bottom w:w="8" w:type="dxa"/>
              <w:right w:w="108" w:type="dxa"/>
            </w:tcMar>
            <w:hideMark/>
          </w:tcPr>
          <w:p w:rsidR="0048133A" w:rsidRPr="00AF270E" w:rsidRDefault="00F23C63">
            <w:pPr>
              <w:jc w:val="center"/>
              <w:rPr>
                <w:sz w:val="20"/>
                <w:szCs w:val="20"/>
              </w:rPr>
            </w:pPr>
            <w:r w:rsidRPr="00AF270E">
              <w:rPr>
                <w:rFonts w:ascii="Calibri" w:eastAsia="Calibri" w:hAnsi="Calibri" w:cs="Calibri"/>
                <w:sz w:val="20"/>
                <w:szCs w:val="20"/>
              </w:rPr>
              <w:t>Missing</w:t>
            </w:r>
          </w:p>
          <w:p w:rsidR="0048133A" w:rsidRPr="00AF270E" w:rsidRDefault="00F23C63">
            <w:pPr>
              <w:jc w:val="center"/>
              <w:rPr>
                <w:sz w:val="20"/>
                <w:szCs w:val="20"/>
              </w:rPr>
            </w:pPr>
            <w:r w:rsidRPr="00AF270E">
              <w:rPr>
                <w:rFonts w:ascii="Calibri" w:eastAsia="Calibri" w:hAnsi="Calibri" w:cs="Calibri"/>
                <w:sz w:val="20"/>
                <w:szCs w:val="20"/>
              </w:rPr>
              <w:t>‘</w:t>
            </w:r>
            <w:r w:rsidRPr="00AF270E">
              <w:rPr>
                <w:rFonts w:ascii="Calibri" w:eastAsia="Calibri" w:hAnsi="Calibri" w:cs="Calibri"/>
                <w:b/>
                <w:bCs/>
                <w:i/>
                <w:iCs/>
                <w:sz w:val="20"/>
                <w:szCs w:val="20"/>
              </w:rPr>
              <w:t>No</w:t>
            </w:r>
            <w:r w:rsidRPr="00AF270E">
              <w:rPr>
                <w:rFonts w:ascii="Calibri" w:eastAsia="Calibri" w:hAnsi="Calibri" w:cs="Calibri"/>
                <w:sz w:val="20"/>
                <w:szCs w:val="20"/>
              </w:rPr>
              <w:t>’</w:t>
            </w: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Medication management</w:t>
            </w:r>
            <w:r w:rsidRPr="00AF270E">
              <w:rPr>
                <w:rFonts w:ascii="Calibri" w:eastAsia="Calibri" w:hAnsi="Calibri" w:cs="Calibri"/>
                <w:sz w:val="20"/>
                <w:szCs w:val="20"/>
              </w:rPr>
              <w:t>.  Medication reconciliation with review of adherence and potential interactions; oversight of patient self-management of medications.</w:t>
            </w: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Comprehensive Care Plan</w:t>
            </w:r>
            <w:r w:rsidRPr="00AF270E">
              <w:rPr>
                <w:rFonts w:ascii="Calibri" w:eastAsia="Calibri" w:hAnsi="Calibri" w:cs="Calibri"/>
                <w:sz w:val="20"/>
                <w:szCs w:val="20"/>
              </w:rPr>
              <w:t xml:space="preserve">.  </w:t>
            </w:r>
            <w:r w:rsidRPr="00AF270E">
              <w:rPr>
                <w:rFonts w:ascii="Calibri" w:eastAsia="Calibri" w:hAnsi="Calibri" w:cs="Calibri"/>
                <w:sz w:val="20"/>
                <w:szCs w:val="20"/>
              </w:rPr>
              <w:t>Comprehensive care plan including the creation, revision, and/or monitoring of an electronic care plan based on a physical, mental, cognitive, psychosocial, functional, and environmental (re)assessment; and a comprehensive care plan for all health issues w</w:t>
            </w:r>
            <w:r w:rsidRPr="00AF270E">
              <w:rPr>
                <w:rFonts w:ascii="Calibri" w:eastAsia="Calibri" w:hAnsi="Calibri" w:cs="Calibri"/>
                <w:sz w:val="20"/>
                <w:szCs w:val="20"/>
              </w:rPr>
              <w:t>ith particular focus on the chronic conditions being managed</w:t>
            </w: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Resources and Support</w:t>
            </w:r>
            <w:r w:rsidRPr="00AF270E">
              <w:rPr>
                <w:rFonts w:ascii="Calibri" w:eastAsia="Calibri" w:hAnsi="Calibri" w:cs="Calibri"/>
                <w:sz w:val="20"/>
                <w:szCs w:val="20"/>
              </w:rPr>
              <w:t>.  An inventory of resources and supports for patients.</w:t>
            </w: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Care Plan Sharing</w:t>
            </w:r>
            <w:r w:rsidRPr="00AF270E">
              <w:rPr>
                <w:rFonts w:ascii="Calibri" w:eastAsia="Calibri" w:hAnsi="Calibri" w:cs="Calibri"/>
                <w:sz w:val="20"/>
                <w:szCs w:val="20"/>
              </w:rPr>
              <w:t>.  Care plan information made available electronically (including fax) in a timely manner withi</w:t>
            </w:r>
            <w:r w:rsidRPr="00AF270E">
              <w:rPr>
                <w:rFonts w:ascii="Calibri" w:eastAsia="Calibri" w:hAnsi="Calibri" w:cs="Calibri"/>
                <w:sz w:val="20"/>
                <w:szCs w:val="20"/>
              </w:rPr>
              <w:t>n and outside the FQHC as appropriate and a copy of the care plan given to the patient and/or caregiver</w:t>
            </w: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Care Transition Management</w:t>
            </w:r>
            <w:r w:rsidRPr="00AF270E">
              <w:rPr>
                <w:rFonts w:ascii="Calibri" w:eastAsia="Calibri" w:hAnsi="Calibri" w:cs="Calibri"/>
                <w:sz w:val="20"/>
                <w:szCs w:val="20"/>
              </w:rPr>
              <w:t>.  Management of care transitions between and among health care providers and settings, including referrals to other clinic</w:t>
            </w:r>
            <w:r w:rsidRPr="00AF270E">
              <w:rPr>
                <w:rFonts w:ascii="Calibri" w:eastAsia="Calibri" w:hAnsi="Calibri" w:cs="Calibri"/>
                <w:sz w:val="20"/>
                <w:szCs w:val="20"/>
              </w:rPr>
              <w:t>ians; follow-up after an emergency department visit; follow-up after hospital discharges from hospitals, skilled nursing facilities, or other health care facilities; and timely creation and exchange/transmission of continuity of care document(s) with other</w:t>
            </w:r>
            <w:r w:rsidRPr="00AF270E">
              <w:rPr>
                <w:rFonts w:ascii="Calibri" w:eastAsia="Calibri" w:hAnsi="Calibri" w:cs="Calibri"/>
                <w:sz w:val="20"/>
                <w:szCs w:val="20"/>
              </w:rPr>
              <w:t xml:space="preserve"> practitioners and providers</w:t>
            </w: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Coordination of Care</w:t>
            </w:r>
            <w:r w:rsidRPr="00AF270E">
              <w:rPr>
                <w:rFonts w:ascii="Calibri" w:eastAsia="Calibri" w:hAnsi="Calibri" w:cs="Calibri"/>
                <w:sz w:val="20"/>
                <w:szCs w:val="20"/>
              </w:rPr>
              <w:t xml:space="preserve">.  Coordination with home- and community-based clinical service providers, and documentation of communication to and from home- and community-based providers regarding the patient’s </w:t>
            </w:r>
            <w:r w:rsidRPr="00AF270E">
              <w:rPr>
                <w:rFonts w:ascii="Calibri" w:eastAsia="Calibri" w:hAnsi="Calibri" w:cs="Calibri"/>
                <w:sz w:val="20"/>
                <w:szCs w:val="20"/>
              </w:rPr>
              <w:t>psychosocial needs and functional deficits in the patient’s medical record</w:t>
            </w: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Electronic Communication Options</w:t>
            </w:r>
            <w:r w:rsidRPr="00AF270E">
              <w:rPr>
                <w:rFonts w:ascii="Calibri" w:eastAsia="Calibri" w:hAnsi="Calibri" w:cs="Calibri"/>
                <w:sz w:val="20"/>
                <w:szCs w:val="20"/>
              </w:rPr>
              <w:t>.  Enhanced opportunities for the patient and</w:t>
            </w:r>
            <w:r w:rsidRPr="00AF270E">
              <w:rPr>
                <w:rFonts w:ascii="Calibri" w:eastAsia="Calibri" w:hAnsi="Calibri" w:cs="Calibri"/>
                <w:sz w:val="20"/>
                <w:szCs w:val="20"/>
              </w:rPr>
              <w:t xml:space="preserve"> caregiver to communicate with the practitioner regarding the patient’s care through not only telephone access, but also through secure messaging, internet, or other asynchronous non-face-to-face consultation methods.</w:t>
            </w:r>
          </w:p>
        </w:tc>
        <w:tc>
          <w:tcPr>
            <w:tcW w:w="11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bottom w:val="single" w:sz="6" w:space="0" w:color="000000"/>
            </w:tcBorders>
            <w:tcMar>
              <w:top w:w="8" w:type="dxa"/>
              <w:left w:w="108" w:type="dxa"/>
              <w:bottom w:w="8" w:type="dxa"/>
              <w:right w:w="108" w:type="dxa"/>
            </w:tcMar>
          </w:tcPr>
          <w:p w:rsidR="0048133A" w:rsidRPr="00AF270E" w:rsidRDefault="0048133A">
            <w:pPr>
              <w:rPr>
                <w:sz w:val="20"/>
                <w:szCs w:val="20"/>
              </w:rPr>
            </w:pPr>
          </w:p>
        </w:tc>
      </w:tr>
      <w:tr w:rsidR="00AF270E" w:rsidRPr="00AF270E">
        <w:tc>
          <w:tcPr>
            <w:tcW w:w="7805" w:type="dxa"/>
            <w:tcBorders>
              <w:top w:val="single" w:sz="6" w:space="0" w:color="000000"/>
              <w:right w:val="single" w:sz="6" w:space="0" w:color="000000"/>
            </w:tcBorders>
            <w:tcMar>
              <w:top w:w="8" w:type="dxa"/>
              <w:left w:w="108" w:type="dxa"/>
              <w:bottom w:w="8" w:type="dxa"/>
              <w:right w:w="108" w:type="dxa"/>
            </w:tcMar>
            <w:hideMark/>
          </w:tcPr>
          <w:p w:rsidR="0048133A" w:rsidRPr="00AF270E" w:rsidRDefault="00F23C63">
            <w:pPr>
              <w:rPr>
                <w:sz w:val="22"/>
                <w:szCs w:val="22"/>
              </w:rPr>
            </w:pPr>
            <w:r w:rsidRPr="00AF270E">
              <w:rPr>
                <w:rFonts w:ascii="Calibri" w:eastAsia="Calibri" w:hAnsi="Calibri" w:cs="Calibri"/>
                <w:b/>
                <w:bCs/>
                <w:sz w:val="22"/>
                <w:szCs w:val="22"/>
              </w:rPr>
              <w:t>Coding &amp; Billing</w:t>
            </w:r>
            <w:r w:rsidRPr="00AF270E">
              <w:rPr>
                <w:rFonts w:ascii="Calibri" w:eastAsia="Calibri" w:hAnsi="Calibri" w:cs="Calibri"/>
                <w:sz w:val="20"/>
                <w:szCs w:val="20"/>
              </w:rPr>
              <w:t>.  Documentation to</w:t>
            </w:r>
            <w:r w:rsidRPr="00AF270E">
              <w:rPr>
                <w:rFonts w:ascii="Calibri" w:eastAsia="Calibri" w:hAnsi="Calibri" w:cs="Calibri"/>
                <w:sz w:val="20"/>
                <w:szCs w:val="20"/>
              </w:rPr>
              <w:t xml:space="preserve"> support using G0511 for General Care Management.  Payment for G0511 code may only be billed once per month per beneficiary</w:t>
            </w:r>
            <w:r w:rsidRPr="00AF270E">
              <w:rPr>
                <w:rFonts w:ascii="Calibri" w:eastAsia="Calibri" w:hAnsi="Calibri" w:cs="Calibri"/>
                <w:sz w:val="20"/>
                <w:szCs w:val="20"/>
              </w:rPr>
              <w:t xml:space="preserve"> and cannot be billed if other care management services are billed for the same time period.</w:t>
            </w:r>
          </w:p>
        </w:tc>
        <w:tc>
          <w:tcPr>
            <w:tcW w:w="1110" w:type="dxa"/>
            <w:tcBorders>
              <w:top w:val="single" w:sz="6" w:space="0" w:color="000000"/>
              <w:left w:val="single" w:sz="6" w:space="0" w:color="000000"/>
              <w:right w:val="single" w:sz="6" w:space="0" w:color="000000"/>
            </w:tcBorders>
            <w:tcMar>
              <w:top w:w="8" w:type="dxa"/>
              <w:left w:w="108" w:type="dxa"/>
              <w:bottom w:w="8" w:type="dxa"/>
              <w:right w:w="108" w:type="dxa"/>
            </w:tcMar>
          </w:tcPr>
          <w:p w:rsidR="0048133A" w:rsidRPr="00AF270E" w:rsidRDefault="0048133A">
            <w:pPr>
              <w:rPr>
                <w:sz w:val="20"/>
                <w:szCs w:val="20"/>
              </w:rPr>
            </w:pPr>
          </w:p>
        </w:tc>
        <w:tc>
          <w:tcPr>
            <w:tcW w:w="1160" w:type="dxa"/>
            <w:tcBorders>
              <w:top w:val="single" w:sz="6" w:space="0" w:color="000000"/>
              <w:left w:val="single" w:sz="6" w:space="0" w:color="000000"/>
            </w:tcBorders>
            <w:tcMar>
              <w:top w:w="8" w:type="dxa"/>
              <w:left w:w="108" w:type="dxa"/>
              <w:bottom w:w="8" w:type="dxa"/>
              <w:right w:w="108" w:type="dxa"/>
            </w:tcMar>
          </w:tcPr>
          <w:p w:rsidR="0048133A" w:rsidRPr="00AF270E" w:rsidRDefault="0048133A">
            <w:pPr>
              <w:rPr>
                <w:sz w:val="20"/>
                <w:szCs w:val="20"/>
              </w:rPr>
            </w:pPr>
          </w:p>
        </w:tc>
      </w:tr>
    </w:tbl>
    <w:p w:rsidR="0048133A" w:rsidRPr="00AF270E" w:rsidRDefault="0048133A">
      <w:pPr>
        <w:spacing w:after="160" w:line="259" w:lineRule="auto"/>
        <w:rPr>
          <w:sz w:val="18"/>
          <w:szCs w:val="18"/>
        </w:rPr>
      </w:pPr>
    </w:p>
    <w:p w:rsidR="0048133A" w:rsidRPr="00AF270E" w:rsidRDefault="00F23C63">
      <w:pPr>
        <w:spacing w:after="160" w:line="259" w:lineRule="auto"/>
        <w:rPr>
          <w:sz w:val="18"/>
          <w:szCs w:val="18"/>
        </w:rPr>
      </w:pPr>
      <w:r w:rsidRPr="00AF270E">
        <w:rPr>
          <w:sz w:val="18"/>
          <w:szCs w:val="18"/>
        </w:rPr>
        <w:br w:type="page"/>
      </w:r>
    </w:p>
    <w:p w:rsidR="0048133A" w:rsidRPr="00AF270E" w:rsidRDefault="00F23C63">
      <w:pPr>
        <w:spacing w:after="160" w:line="259" w:lineRule="auto"/>
        <w:rPr>
          <w:sz w:val="22"/>
          <w:szCs w:val="22"/>
        </w:rPr>
      </w:pPr>
      <w:r w:rsidRPr="00AF270E">
        <w:rPr>
          <w:rFonts w:ascii="Arial" w:eastAsia="Arial" w:hAnsi="Arial" w:cs="Arial"/>
          <w:b/>
          <w:bCs/>
          <w:i/>
          <w:iCs/>
          <w:sz w:val="22"/>
          <w:szCs w:val="22"/>
        </w:rPr>
        <w:lastRenderedPageBreak/>
        <w:t xml:space="preserve">FQHC Chronic Care </w:t>
      </w:r>
      <w:r w:rsidRPr="00AF270E">
        <w:rPr>
          <w:rFonts w:ascii="Arial" w:eastAsia="Arial" w:hAnsi="Arial" w:cs="Arial"/>
          <w:b/>
          <w:bCs/>
          <w:i/>
          <w:iCs/>
          <w:sz w:val="22"/>
          <w:szCs w:val="22"/>
        </w:rPr>
        <w:t>Management Services</w:t>
      </w:r>
    </w:p>
    <w:p w:rsidR="0048133A" w:rsidRPr="00AF270E" w:rsidRDefault="00F23C63">
      <w:pPr>
        <w:spacing w:after="160" w:line="259" w:lineRule="auto"/>
        <w:rPr>
          <w:sz w:val="22"/>
          <w:szCs w:val="22"/>
        </w:rPr>
      </w:pPr>
      <w:r w:rsidRPr="00AF270E">
        <w:rPr>
          <w:rFonts w:ascii="Arial" w:eastAsia="Arial" w:hAnsi="Arial" w:cs="Arial"/>
          <w:b/>
          <w:bCs/>
          <w:i/>
          <w:iCs/>
          <w:sz w:val="22"/>
          <w:szCs w:val="22"/>
        </w:rPr>
        <w:t xml:space="preserve">Additional Billing and Coding Guidelines per excerpts from Centers for Medicare and Medicaid Services (CMS) Care Management Services FAQs </w:t>
      </w:r>
      <w:r w:rsidRPr="00AF270E">
        <w:rPr>
          <w:rFonts w:ascii="Calibri" w:eastAsia="Calibri" w:hAnsi="Calibri" w:cs="Calibri"/>
          <w:sz w:val="20"/>
          <w:szCs w:val="20"/>
          <w:vertAlign w:val="superscript"/>
        </w:rPr>
        <w:footnoteReference w:id="1"/>
      </w:r>
    </w:p>
    <w:p w:rsidR="0048133A" w:rsidRPr="00AF270E" w:rsidRDefault="00F23C63">
      <w:pPr>
        <w:spacing w:after="160" w:line="259" w:lineRule="auto"/>
        <w:rPr>
          <w:sz w:val="20"/>
          <w:szCs w:val="20"/>
        </w:rPr>
      </w:pPr>
      <w:r w:rsidRPr="00AF270E">
        <w:rPr>
          <w:rFonts w:ascii="Arial" w:eastAsia="Arial" w:hAnsi="Arial" w:cs="Arial"/>
          <w:sz w:val="20"/>
          <w:szCs w:val="20"/>
        </w:rPr>
        <w:t>Chronic Care Management (CCM) services are billed using code G0511 for 20 minutes or more of cli</w:t>
      </w:r>
      <w:r w:rsidRPr="00AF270E">
        <w:rPr>
          <w:rFonts w:ascii="Arial" w:eastAsia="Arial" w:hAnsi="Arial" w:cs="Arial"/>
          <w:sz w:val="20"/>
          <w:szCs w:val="20"/>
        </w:rPr>
        <w:t>nical staff time spent on non-complex chronic care management per calendar month.  Code G0511 may only be billed once per month per beneficia</w:t>
      </w:r>
      <w:r w:rsidR="00AF270E">
        <w:rPr>
          <w:rFonts w:ascii="Arial" w:eastAsia="Arial" w:hAnsi="Arial" w:cs="Arial"/>
          <w:sz w:val="20"/>
          <w:szCs w:val="20"/>
        </w:rPr>
        <w:t xml:space="preserve">ry </w:t>
      </w:r>
      <w:r w:rsidRPr="00AF270E">
        <w:rPr>
          <w:rFonts w:ascii="Arial" w:eastAsia="Arial" w:hAnsi="Arial" w:cs="Arial"/>
          <w:sz w:val="20"/>
          <w:szCs w:val="20"/>
        </w:rPr>
        <w:t xml:space="preserve">and cannot be billed if other care management services are billed </w:t>
      </w:r>
      <w:r w:rsidRPr="00AF270E">
        <w:rPr>
          <w:rFonts w:ascii="Arial" w:eastAsia="Arial" w:hAnsi="Arial" w:cs="Arial"/>
          <w:sz w:val="20"/>
          <w:szCs w:val="20"/>
        </w:rPr>
        <w:t xml:space="preserve">within </w:t>
      </w:r>
      <w:r w:rsidRPr="00AF270E">
        <w:rPr>
          <w:rFonts w:ascii="Arial" w:eastAsia="Arial" w:hAnsi="Arial" w:cs="Arial"/>
          <w:sz w:val="20"/>
          <w:szCs w:val="20"/>
        </w:rPr>
        <w:t>the same time period.</w:t>
      </w:r>
      <w:r w:rsidRPr="00AF270E">
        <w:rPr>
          <w:rFonts w:ascii="Arial" w:eastAsia="Arial" w:hAnsi="Arial" w:cs="Arial"/>
          <w:sz w:val="20"/>
          <w:szCs w:val="20"/>
        </w:rPr>
        <w:t xml:space="preserve"> Here are a few quick reminders:</w:t>
      </w:r>
    </w:p>
    <w:p w:rsidR="0048133A" w:rsidRPr="00AF270E" w:rsidRDefault="00F23C63">
      <w:pPr>
        <w:numPr>
          <w:ilvl w:val="0"/>
          <w:numId w:val="2"/>
        </w:numPr>
        <w:pBdr>
          <w:left w:val="none" w:sz="0" w:space="8" w:color="auto"/>
        </w:pBdr>
        <w:spacing w:line="259" w:lineRule="auto"/>
        <w:ind w:hanging="424"/>
        <w:rPr>
          <w:sz w:val="20"/>
          <w:szCs w:val="20"/>
        </w:rPr>
      </w:pPr>
      <w:r w:rsidRPr="00AF270E">
        <w:rPr>
          <w:rFonts w:ascii="Arial" w:eastAsia="Arial" w:hAnsi="Arial" w:cs="Arial"/>
          <w:sz w:val="20"/>
          <w:szCs w:val="20"/>
        </w:rPr>
        <w:t>CMS PFS 2020 CCM rate is $66.77.</w:t>
      </w:r>
    </w:p>
    <w:p w:rsidR="0048133A" w:rsidRPr="00AF270E" w:rsidRDefault="00F23C63">
      <w:pPr>
        <w:numPr>
          <w:ilvl w:val="0"/>
          <w:numId w:val="2"/>
        </w:numPr>
        <w:pBdr>
          <w:left w:val="none" w:sz="0" w:space="8" w:color="auto"/>
        </w:pBdr>
        <w:spacing w:line="259" w:lineRule="auto"/>
        <w:ind w:hanging="424"/>
        <w:rPr>
          <w:sz w:val="20"/>
          <w:szCs w:val="20"/>
        </w:rPr>
      </w:pPr>
      <w:r w:rsidRPr="00AF270E">
        <w:rPr>
          <w:rFonts w:ascii="Arial" w:eastAsia="Arial" w:hAnsi="Arial" w:cs="Arial"/>
          <w:sz w:val="20"/>
          <w:szCs w:val="20"/>
        </w:rPr>
        <w:t>A FQHC practitioner (i.e., MD, DO, NP, PA, or CNM) determines if the patient meets the criteria for care management services and if they are likely to benefit from care management services.</w:t>
      </w:r>
    </w:p>
    <w:p w:rsidR="0048133A" w:rsidRPr="00AF270E" w:rsidRDefault="00F23C63">
      <w:pPr>
        <w:numPr>
          <w:ilvl w:val="0"/>
          <w:numId w:val="2"/>
        </w:numPr>
        <w:pBdr>
          <w:left w:val="none" w:sz="0" w:space="8" w:color="auto"/>
        </w:pBdr>
        <w:spacing w:line="259" w:lineRule="auto"/>
        <w:ind w:hanging="424"/>
        <w:rPr>
          <w:sz w:val="20"/>
          <w:szCs w:val="20"/>
        </w:rPr>
      </w:pPr>
      <w:r w:rsidRPr="00AF270E">
        <w:rPr>
          <w:rFonts w:ascii="Arial" w:eastAsia="Arial" w:hAnsi="Arial" w:cs="Arial"/>
          <w:sz w:val="20"/>
          <w:szCs w:val="20"/>
        </w:rPr>
        <w:t>CCM may be furnished by auxiliary personnel under general supervision of the FQHC practitioner. General supervision does not require the FQHC practitioner to be in the same building or immediately available, but it does require the services to be furnished</w:t>
      </w:r>
      <w:r w:rsidRPr="00AF270E">
        <w:rPr>
          <w:rFonts w:ascii="Arial" w:eastAsia="Arial" w:hAnsi="Arial" w:cs="Arial"/>
          <w:sz w:val="20"/>
          <w:szCs w:val="20"/>
        </w:rPr>
        <w:t xml:space="preserve"> under the FQHC practitioner’s overall supervision and control.</w:t>
      </w:r>
    </w:p>
    <w:p w:rsidR="0048133A" w:rsidRPr="00AF270E" w:rsidRDefault="00F23C63">
      <w:pPr>
        <w:numPr>
          <w:ilvl w:val="0"/>
          <w:numId w:val="2"/>
        </w:numPr>
        <w:pBdr>
          <w:left w:val="none" w:sz="0" w:space="8" w:color="auto"/>
        </w:pBdr>
        <w:spacing w:line="259" w:lineRule="auto"/>
        <w:ind w:hanging="424"/>
        <w:rPr>
          <w:sz w:val="20"/>
          <w:szCs w:val="20"/>
        </w:rPr>
      </w:pPr>
      <w:r w:rsidRPr="00AF270E">
        <w:rPr>
          <w:rFonts w:ascii="Arial" w:eastAsia="Arial" w:hAnsi="Arial" w:cs="Arial"/>
          <w:sz w:val="20"/>
          <w:szCs w:val="20"/>
        </w:rPr>
        <w:t xml:space="preserve">An initiating visit with a qualified FQHC practitioner is required </w:t>
      </w:r>
      <w:r w:rsidRPr="00AF270E">
        <w:rPr>
          <w:rFonts w:ascii="Arial" w:eastAsia="Arial" w:hAnsi="Arial" w:cs="Arial"/>
          <w:sz w:val="20"/>
          <w:szCs w:val="20"/>
        </w:rPr>
        <w:t>within</w:t>
      </w:r>
      <w:r w:rsidRPr="00AF270E">
        <w:rPr>
          <w:rFonts w:ascii="Arial" w:eastAsia="Arial" w:hAnsi="Arial" w:cs="Arial"/>
          <w:sz w:val="20"/>
          <w:szCs w:val="20"/>
        </w:rPr>
        <w:t xml:space="preserve"> one year before beginning care management services. </w:t>
      </w:r>
    </w:p>
    <w:p w:rsidR="0048133A" w:rsidRPr="00AF270E" w:rsidRDefault="00F23C63">
      <w:pPr>
        <w:numPr>
          <w:ilvl w:val="0"/>
          <w:numId w:val="2"/>
        </w:numPr>
        <w:pBdr>
          <w:left w:val="none" w:sz="0" w:space="8" w:color="auto"/>
        </w:pBdr>
        <w:spacing w:line="259" w:lineRule="auto"/>
        <w:ind w:hanging="424"/>
        <w:rPr>
          <w:sz w:val="20"/>
          <w:szCs w:val="20"/>
        </w:rPr>
      </w:pPr>
      <w:r w:rsidRPr="00AF270E">
        <w:rPr>
          <w:rFonts w:ascii="Arial" w:eastAsia="Arial" w:hAnsi="Arial" w:cs="Arial"/>
          <w:sz w:val="20"/>
          <w:szCs w:val="20"/>
        </w:rPr>
        <w:t>Consent must be obtained prior to the commencement of</w:t>
      </w:r>
      <w:r w:rsidRPr="00AF270E">
        <w:rPr>
          <w:rFonts w:ascii="Arial" w:eastAsia="Arial" w:hAnsi="Arial" w:cs="Arial"/>
          <w:sz w:val="20"/>
          <w:szCs w:val="20"/>
        </w:rPr>
        <w:t xml:space="preserve"> care management services. Consent may be verbal (written consent is not required) but must be documented in the medical record and remains in effect unless/until revoked by the patient.</w:t>
      </w:r>
    </w:p>
    <w:p w:rsidR="0048133A" w:rsidRPr="00AF270E" w:rsidRDefault="00F23C63">
      <w:pPr>
        <w:numPr>
          <w:ilvl w:val="0"/>
          <w:numId w:val="2"/>
        </w:numPr>
        <w:pBdr>
          <w:left w:val="none" w:sz="0" w:space="8" w:color="auto"/>
        </w:pBdr>
        <w:spacing w:line="259" w:lineRule="auto"/>
        <w:ind w:hanging="424"/>
        <w:rPr>
          <w:sz w:val="20"/>
          <w:szCs w:val="20"/>
        </w:rPr>
      </w:pPr>
      <w:r w:rsidRPr="00AF270E">
        <w:rPr>
          <w:rFonts w:ascii="Arial" w:eastAsia="Arial" w:hAnsi="Arial" w:cs="Arial"/>
          <w:sz w:val="20"/>
          <w:szCs w:val="20"/>
        </w:rPr>
        <w:t>Monthly contact with the patient is not necessary to bill for care ma</w:t>
      </w:r>
      <w:r w:rsidRPr="00AF270E">
        <w:rPr>
          <w:rFonts w:ascii="Arial" w:eastAsia="Arial" w:hAnsi="Arial" w:cs="Arial"/>
          <w:sz w:val="20"/>
          <w:szCs w:val="20"/>
        </w:rPr>
        <w:t>nagement services.</w:t>
      </w:r>
    </w:p>
    <w:p w:rsidR="0048133A" w:rsidRPr="00AF270E" w:rsidRDefault="00F23C63">
      <w:pPr>
        <w:numPr>
          <w:ilvl w:val="0"/>
          <w:numId w:val="2"/>
        </w:numPr>
        <w:pBdr>
          <w:left w:val="none" w:sz="0" w:space="8" w:color="auto"/>
        </w:pBdr>
        <w:spacing w:line="259" w:lineRule="auto"/>
        <w:ind w:hanging="424"/>
        <w:rPr>
          <w:sz w:val="20"/>
          <w:szCs w:val="20"/>
        </w:rPr>
      </w:pPr>
      <w:r w:rsidRPr="00AF270E">
        <w:rPr>
          <w:rFonts w:ascii="Arial" w:eastAsia="Arial" w:hAnsi="Arial" w:cs="Arial"/>
          <w:sz w:val="20"/>
          <w:szCs w:val="20"/>
        </w:rPr>
        <w:t>Coinsurance applies to all care management services in FQHCs and cannot be waived. However, the HRSA sliding fee discount scale may be applied to all co-payments, co-insurance, and deductibles.</w:t>
      </w:r>
    </w:p>
    <w:p w:rsidR="0048133A" w:rsidRPr="00AF270E" w:rsidRDefault="00F23C63">
      <w:pPr>
        <w:numPr>
          <w:ilvl w:val="0"/>
          <w:numId w:val="2"/>
        </w:numPr>
        <w:pBdr>
          <w:left w:val="none" w:sz="0" w:space="8" w:color="auto"/>
        </w:pBdr>
        <w:spacing w:line="259" w:lineRule="auto"/>
        <w:ind w:hanging="424"/>
        <w:rPr>
          <w:sz w:val="20"/>
          <w:szCs w:val="20"/>
        </w:rPr>
      </w:pPr>
      <w:r w:rsidRPr="00AF270E">
        <w:rPr>
          <w:rFonts w:ascii="Arial" w:eastAsia="Arial" w:hAnsi="Arial" w:cs="Arial"/>
          <w:sz w:val="20"/>
          <w:szCs w:val="20"/>
        </w:rPr>
        <w:t xml:space="preserve">A FQHC may submit a Medicare claim for a </w:t>
      </w:r>
      <w:r w:rsidRPr="00AF270E">
        <w:rPr>
          <w:rFonts w:ascii="Arial" w:eastAsia="Arial" w:hAnsi="Arial" w:cs="Arial"/>
          <w:sz w:val="20"/>
          <w:szCs w:val="20"/>
        </w:rPr>
        <w:t>billable, CMS PPS “G” code visit and a care management service on a single claim.</w:t>
      </w:r>
    </w:p>
    <w:p w:rsidR="0048133A" w:rsidRPr="00AF270E" w:rsidRDefault="00F23C63">
      <w:pPr>
        <w:numPr>
          <w:ilvl w:val="0"/>
          <w:numId w:val="2"/>
        </w:numPr>
        <w:pBdr>
          <w:left w:val="none" w:sz="0" w:space="8" w:color="auto"/>
        </w:pBdr>
        <w:spacing w:line="259" w:lineRule="auto"/>
        <w:ind w:hanging="424"/>
        <w:rPr>
          <w:sz w:val="20"/>
          <w:szCs w:val="20"/>
        </w:rPr>
      </w:pPr>
      <w:r w:rsidRPr="00AF270E">
        <w:rPr>
          <w:rFonts w:ascii="Arial" w:eastAsia="Arial" w:hAnsi="Arial" w:cs="Arial"/>
          <w:sz w:val="20"/>
          <w:szCs w:val="20"/>
        </w:rPr>
        <w:t xml:space="preserve"> If billing for CCM AND a CMS PPS “G” code on the same claim, payment for the PPS “G” code will be the lesser of its charges or the fully adjusted PPS rate for the billable v</w:t>
      </w:r>
      <w:r w:rsidRPr="00AF270E">
        <w:rPr>
          <w:rFonts w:ascii="Arial" w:eastAsia="Arial" w:hAnsi="Arial" w:cs="Arial"/>
          <w:sz w:val="20"/>
          <w:szCs w:val="20"/>
        </w:rPr>
        <w:t>isit AND 80% of the charges for CCM.</w:t>
      </w:r>
    </w:p>
    <w:p w:rsidR="0048133A" w:rsidRPr="00AF270E" w:rsidRDefault="00F23C63">
      <w:pPr>
        <w:numPr>
          <w:ilvl w:val="0"/>
          <w:numId w:val="2"/>
        </w:numPr>
        <w:pBdr>
          <w:left w:val="none" w:sz="0" w:space="8" w:color="auto"/>
        </w:pBdr>
        <w:spacing w:line="259" w:lineRule="auto"/>
        <w:ind w:hanging="424"/>
        <w:rPr>
          <w:sz w:val="20"/>
          <w:szCs w:val="20"/>
        </w:rPr>
      </w:pPr>
      <w:r w:rsidRPr="00AF270E">
        <w:rPr>
          <w:rFonts w:ascii="Arial" w:eastAsia="Arial" w:hAnsi="Arial" w:cs="Arial"/>
          <w:sz w:val="20"/>
          <w:szCs w:val="20"/>
        </w:rPr>
        <w:t xml:space="preserve">The date of service (DOS) used on the claim may be the date when the requirements to bill for the service have been met for that month or any date before the last day of the month.  </w:t>
      </w:r>
    </w:p>
    <w:p w:rsidR="0048133A" w:rsidRPr="00AF270E" w:rsidRDefault="00F23C63">
      <w:pPr>
        <w:numPr>
          <w:ilvl w:val="0"/>
          <w:numId w:val="2"/>
        </w:numPr>
        <w:pBdr>
          <w:left w:val="none" w:sz="0" w:space="8" w:color="auto"/>
        </w:pBdr>
        <w:spacing w:line="259" w:lineRule="auto"/>
        <w:ind w:hanging="424"/>
        <w:rPr>
          <w:sz w:val="20"/>
          <w:szCs w:val="20"/>
        </w:rPr>
      </w:pPr>
      <w:r w:rsidRPr="00AF270E">
        <w:rPr>
          <w:rFonts w:ascii="Arial" w:eastAsia="Arial" w:hAnsi="Arial" w:cs="Arial"/>
          <w:sz w:val="20"/>
          <w:szCs w:val="20"/>
        </w:rPr>
        <w:t>The 20 minutes of CCM must be furnis</w:t>
      </w:r>
      <w:r w:rsidRPr="00AF270E">
        <w:rPr>
          <w:rFonts w:ascii="Arial" w:eastAsia="Arial" w:hAnsi="Arial" w:cs="Arial"/>
          <w:sz w:val="20"/>
          <w:szCs w:val="20"/>
        </w:rPr>
        <w:t>hed and totaled within each calendar month, not during a 30-day period that overlaps a start and end of consecutive months.</w:t>
      </w:r>
    </w:p>
    <w:p w:rsidR="0048133A" w:rsidRPr="00AF270E" w:rsidRDefault="00F23C63">
      <w:pPr>
        <w:numPr>
          <w:ilvl w:val="0"/>
          <w:numId w:val="2"/>
        </w:numPr>
        <w:pBdr>
          <w:left w:val="none" w:sz="0" w:space="8" w:color="auto"/>
        </w:pBdr>
        <w:spacing w:line="259" w:lineRule="auto"/>
        <w:ind w:hanging="424"/>
        <w:rPr>
          <w:sz w:val="20"/>
          <w:szCs w:val="20"/>
        </w:rPr>
      </w:pPr>
      <w:r w:rsidRPr="00AF270E">
        <w:rPr>
          <w:rFonts w:ascii="Arial" w:eastAsia="Arial" w:hAnsi="Arial" w:cs="Arial"/>
          <w:sz w:val="20"/>
          <w:szCs w:val="20"/>
        </w:rPr>
        <w:t>ICD codes are required for CCM and FQHC practitioners should select the most appropriate ICD based on chronic conditions managed.</w:t>
      </w:r>
    </w:p>
    <w:p w:rsidR="0048133A" w:rsidRPr="00AF270E" w:rsidRDefault="00F23C63">
      <w:pPr>
        <w:numPr>
          <w:ilvl w:val="0"/>
          <w:numId w:val="2"/>
        </w:numPr>
        <w:pBdr>
          <w:left w:val="none" w:sz="0" w:space="8" w:color="auto"/>
        </w:pBdr>
        <w:spacing w:line="259" w:lineRule="auto"/>
        <w:ind w:hanging="424"/>
        <w:rPr>
          <w:sz w:val="20"/>
          <w:szCs w:val="20"/>
        </w:rPr>
      </w:pPr>
      <w:r w:rsidRPr="00AF270E">
        <w:rPr>
          <w:rFonts w:ascii="Arial" w:eastAsia="Arial" w:hAnsi="Arial" w:cs="Arial"/>
          <w:sz w:val="20"/>
          <w:szCs w:val="20"/>
        </w:rPr>
        <w:t>CC</w:t>
      </w:r>
      <w:r w:rsidRPr="00AF270E">
        <w:rPr>
          <w:rFonts w:ascii="Arial" w:eastAsia="Arial" w:hAnsi="Arial" w:cs="Arial"/>
          <w:sz w:val="20"/>
          <w:szCs w:val="20"/>
        </w:rPr>
        <w:t>M should only be furnished on an as-needed basis. There are no specific requirements for updating the care plan. It should be reviewed and updated as appropriate for the patient’s care.</w:t>
      </w:r>
    </w:p>
    <w:p w:rsidR="0048133A" w:rsidRPr="00AF270E" w:rsidRDefault="00F23C63">
      <w:pPr>
        <w:numPr>
          <w:ilvl w:val="0"/>
          <w:numId w:val="2"/>
        </w:numPr>
        <w:pBdr>
          <w:left w:val="none" w:sz="0" w:space="8" w:color="auto"/>
        </w:pBdr>
        <w:spacing w:line="259" w:lineRule="auto"/>
        <w:ind w:hanging="424"/>
        <w:rPr>
          <w:sz w:val="20"/>
          <w:szCs w:val="20"/>
        </w:rPr>
      </w:pPr>
      <w:bookmarkStart w:id="0" w:name="_GoBack"/>
      <w:bookmarkEnd w:id="0"/>
      <w:r w:rsidRPr="00AF270E">
        <w:rPr>
          <w:rFonts w:ascii="Arial" w:eastAsia="Arial" w:hAnsi="Arial" w:cs="Arial"/>
          <w:sz w:val="20"/>
          <w:szCs w:val="20"/>
        </w:rPr>
        <w:t>Care management costs such as software or management oversight can be included on the cost report.  Any cost incurred as a result of the provision of FQHC services, including care management, is a reporta</w:t>
      </w:r>
      <w:r w:rsidRPr="00AF270E">
        <w:rPr>
          <w:rFonts w:ascii="Arial" w:eastAsia="Arial" w:hAnsi="Arial" w:cs="Arial"/>
          <w:sz w:val="20"/>
          <w:szCs w:val="20"/>
        </w:rPr>
        <w:t xml:space="preserve">ble cost and must be included in the Medicare cost report.  </w:t>
      </w:r>
    </w:p>
    <w:p w:rsidR="0048133A" w:rsidRPr="00AF270E" w:rsidRDefault="00F23C63">
      <w:pPr>
        <w:numPr>
          <w:ilvl w:val="0"/>
          <w:numId w:val="2"/>
        </w:numPr>
        <w:pBdr>
          <w:left w:val="none" w:sz="0" w:space="8" w:color="auto"/>
        </w:pBdr>
        <w:spacing w:after="160" w:line="259" w:lineRule="auto"/>
        <w:ind w:hanging="424"/>
        <w:rPr>
          <w:sz w:val="20"/>
          <w:szCs w:val="20"/>
        </w:rPr>
      </w:pPr>
      <w:r w:rsidRPr="00AF270E">
        <w:rPr>
          <w:rFonts w:ascii="Arial" w:eastAsia="Arial" w:hAnsi="Arial" w:cs="Arial"/>
          <w:sz w:val="20"/>
          <w:szCs w:val="20"/>
        </w:rPr>
        <w:t>CCM should be reported on 837-I with revenue code 052x and corresponding HCPCS (e.g., CPT) code.</w:t>
      </w:r>
    </w:p>
    <w:sectPr w:rsidR="0048133A" w:rsidRPr="00AF270E">
      <w:footerReference w:type="default" r:id="rId8"/>
      <w:pgSz w:w="12240" w:h="15840"/>
      <w:pgMar w:top="1080" w:right="1080" w:bottom="72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C63" w:rsidRDefault="00F23C63">
      <w:r>
        <w:separator/>
      </w:r>
    </w:p>
  </w:endnote>
  <w:endnote w:type="continuationSeparator" w:id="0">
    <w:p w:rsidR="00F23C63" w:rsidRDefault="00F23C63">
      <w:r>
        <w:continuationSeparator/>
      </w:r>
    </w:p>
  </w:endnote>
  <w:endnote w:id="1">
    <w:p w:rsidR="0048133A" w:rsidRPr="00AF270E" w:rsidRDefault="00F23C63">
      <w:pPr>
        <w:rPr>
          <w:rFonts w:ascii="Calibri" w:eastAsia="Calibri" w:hAnsi="Calibri" w:cs="Calibri"/>
          <w:sz w:val="20"/>
          <w:szCs w:val="20"/>
          <w:vertAlign w:val="superscript"/>
        </w:rPr>
      </w:pPr>
      <w:r>
        <w:rPr>
          <w:rStyle w:val="EndnoteReference"/>
          <w:rFonts w:ascii="Calibri" w:eastAsia="Calibri" w:hAnsi="Calibri" w:cs="Calibri"/>
          <w:color w:val="000000"/>
          <w:sz w:val="20"/>
          <w:szCs w:val="20"/>
        </w:rPr>
        <w:endnoteRef/>
      </w:r>
      <w:r w:rsidR="00A60561">
        <w:rPr>
          <w:rFonts w:ascii="Calibri" w:eastAsia="Calibri" w:hAnsi="Calibri" w:cs="Calibri"/>
          <w:sz w:val="20"/>
          <w:szCs w:val="20"/>
        </w:rPr>
        <w:t xml:space="preserve">CMS defines a </w:t>
      </w:r>
      <w:r w:rsidRPr="00AF270E">
        <w:rPr>
          <w:rFonts w:ascii="Calibri" w:eastAsia="Calibri" w:hAnsi="Calibri" w:cs="Calibri"/>
          <w:sz w:val="20"/>
          <w:szCs w:val="20"/>
        </w:rPr>
        <w:t xml:space="preserve">new patient </w:t>
      </w:r>
      <w:r w:rsidR="00A60561">
        <w:rPr>
          <w:rFonts w:ascii="Calibri" w:eastAsia="Calibri" w:hAnsi="Calibri" w:cs="Calibri"/>
          <w:sz w:val="20"/>
          <w:szCs w:val="20"/>
        </w:rPr>
        <w:t>a</w:t>
      </w:r>
      <w:r w:rsidRPr="00AF270E">
        <w:rPr>
          <w:rFonts w:ascii="Calibri" w:eastAsia="Calibri" w:hAnsi="Calibri" w:cs="Calibri"/>
          <w:sz w:val="20"/>
          <w:szCs w:val="20"/>
        </w:rPr>
        <w:t xml:space="preserve">s a patient </w:t>
      </w:r>
      <w:r w:rsidR="00A60561">
        <w:rPr>
          <w:rFonts w:ascii="Calibri" w:eastAsia="Calibri" w:hAnsi="Calibri" w:cs="Calibri"/>
          <w:sz w:val="20"/>
          <w:szCs w:val="20"/>
        </w:rPr>
        <w:t xml:space="preserve">covered by Medicare </w:t>
      </w:r>
      <w:r w:rsidRPr="00AF270E">
        <w:rPr>
          <w:rFonts w:ascii="Calibri" w:eastAsia="Calibri" w:hAnsi="Calibri" w:cs="Calibri"/>
          <w:sz w:val="20"/>
          <w:szCs w:val="20"/>
        </w:rPr>
        <w:t>that has not</w:t>
      </w:r>
      <w:r w:rsidRPr="00AF270E">
        <w:rPr>
          <w:rFonts w:ascii="Calibri" w:eastAsia="Calibri" w:hAnsi="Calibri" w:cs="Calibri"/>
          <w:sz w:val="20"/>
          <w:szCs w:val="20"/>
        </w:rPr>
        <w:t xml:space="preserve"> been seen by a </w:t>
      </w:r>
      <w:r w:rsidR="00A60561">
        <w:rPr>
          <w:rFonts w:ascii="Calibri" w:eastAsia="Calibri" w:hAnsi="Calibri" w:cs="Calibri"/>
          <w:sz w:val="20"/>
          <w:szCs w:val="20"/>
        </w:rPr>
        <w:t xml:space="preserve">provider, or other provider of the same health center, </w:t>
      </w:r>
      <w:r w:rsidR="00A60561" w:rsidRPr="00AF270E">
        <w:rPr>
          <w:rFonts w:ascii="Calibri" w:eastAsia="Calibri" w:hAnsi="Calibri" w:cs="Calibri"/>
          <w:sz w:val="20"/>
          <w:szCs w:val="20"/>
        </w:rPr>
        <w:t>in the last three year</w:t>
      </w:r>
      <w:r w:rsidR="00A60561">
        <w:rPr>
          <w:rFonts w:ascii="Calibri" w:eastAsia="Calibri" w:hAnsi="Calibri" w:cs="Calibri"/>
          <w:sz w:val="20"/>
          <w:szCs w:val="20"/>
        </w:rPr>
        <w:t>s</w:t>
      </w:r>
      <w:r w:rsidRPr="00AF270E">
        <w:rPr>
          <w:rFonts w:ascii="Calibri" w:eastAsia="Calibri" w:hAnsi="Calibri" w:cs="Calibri"/>
          <w:sz w:val="20"/>
          <w:szCs w:val="20"/>
        </w:rPr>
        <w:t xml:space="preserve">. This definition of a new </w:t>
      </w:r>
      <w:r w:rsidRPr="00AF270E">
        <w:rPr>
          <w:rFonts w:ascii="Calibri" w:eastAsia="Calibri" w:hAnsi="Calibri" w:cs="Calibri"/>
          <w:sz w:val="20"/>
          <w:szCs w:val="20"/>
        </w:rPr>
        <w:t>patient differs from the traditional CPT definition of new patient</w:t>
      </w:r>
      <w:r w:rsidRPr="00AF270E">
        <w:rPr>
          <w:rFonts w:ascii="Calibri" w:eastAsia="Calibri" w:hAnsi="Calibri" w:cs="Calibri"/>
          <w:sz w:val="20"/>
          <w:szCs w:val="20"/>
        </w:rPr>
        <w:t xml:space="preserve"> so it is important all FQHC staff use the same definition.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33A" w:rsidRDefault="0048133A">
    <w:pPr>
      <w:jc w:val="right"/>
      <w:rPr>
        <w:sz w:val="20"/>
        <w:szCs w:val="20"/>
      </w:rPr>
    </w:pPr>
  </w:p>
  <w:p w:rsidR="0048133A" w:rsidRDefault="00F23C63">
    <w:pPr>
      <w:jc w:val="right"/>
      <w:rPr>
        <w:sz w:val="20"/>
        <w:szCs w:val="20"/>
      </w:rPr>
    </w:pPr>
    <w:r>
      <w:rPr>
        <w:rFonts w:ascii="Calibri" w:eastAsia="Calibri" w:hAnsi="Calibri" w:cs="Calibri"/>
        <w:color w:val="BFBFBF"/>
        <w:sz w:val="20"/>
        <w:szCs w:val="20"/>
      </w:rPr>
      <w:t>© National Association of Community Health Centers.  All rights reserved. 0</w:t>
    </w:r>
    <w:r w:rsidR="00AF270E">
      <w:rPr>
        <w:rFonts w:ascii="Calibri" w:eastAsia="Calibri" w:hAnsi="Calibri" w:cs="Calibri"/>
        <w:color w:val="BFBFBF"/>
        <w:sz w:val="20"/>
        <w:szCs w:val="20"/>
      </w:rPr>
      <w:t>2.</w:t>
    </w:r>
    <w:r w:rsidR="00A60561">
      <w:rPr>
        <w:rFonts w:ascii="Calibri" w:eastAsia="Calibri" w:hAnsi="Calibri" w:cs="Calibri"/>
        <w:color w:val="BFBFBF"/>
        <w:sz w:val="20"/>
        <w:szCs w:val="20"/>
      </w:rPr>
      <w:t>12</w:t>
    </w:r>
    <w:r w:rsidR="00AF270E">
      <w:rPr>
        <w:rFonts w:ascii="Calibri" w:eastAsia="Calibri" w:hAnsi="Calibri" w:cs="Calibri"/>
        <w:color w:val="BFBFBF"/>
        <w:sz w:val="20"/>
        <w:szCs w:val="20"/>
      </w:rPr>
      <w:t>.20</w:t>
    </w:r>
  </w:p>
  <w:p w:rsidR="0048133A" w:rsidRDefault="0048133A">
    <w:pPr>
      <w:rPr>
        <w:sz w:val="22"/>
        <w:szCs w:val="22"/>
      </w:rPr>
    </w:pPr>
  </w:p>
  <w:p w:rsidR="0048133A" w:rsidRDefault="0048133A">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C63" w:rsidRDefault="00F23C63">
      <w:r>
        <w:separator/>
      </w:r>
    </w:p>
  </w:footnote>
  <w:footnote w:type="continuationSeparator" w:id="0">
    <w:p w:rsidR="00F23C63" w:rsidRDefault="00F23C63">
      <w:r>
        <w:continuationSeparator/>
      </w:r>
    </w:p>
  </w:footnote>
  <w:footnote w:id="1">
    <w:p w:rsidR="0048133A" w:rsidRDefault="00F23C63">
      <w:pPr>
        <w:rPr>
          <w:rFonts w:ascii="Calibri" w:eastAsia="Calibri" w:hAnsi="Calibri" w:cs="Calibri"/>
          <w:color w:val="000000"/>
          <w:sz w:val="20"/>
          <w:szCs w:val="20"/>
          <w:vertAlign w:val="superscript"/>
        </w:rPr>
      </w:pPr>
      <w:r>
        <w:rPr>
          <w:rStyle w:val="FootnoteReference"/>
          <w:rFonts w:ascii="Calibri" w:eastAsia="Calibri" w:hAnsi="Calibri" w:cs="Calibri"/>
          <w:color w:val="000000"/>
          <w:sz w:val="20"/>
          <w:szCs w:val="20"/>
        </w:rPr>
        <w:footnoteRef/>
      </w:r>
      <w:r>
        <w:rPr>
          <w:rFonts w:ascii="Calibri" w:eastAsia="Calibri" w:hAnsi="Calibri" w:cs="Calibri"/>
          <w:sz w:val="20"/>
          <w:szCs w:val="20"/>
        </w:rPr>
        <w:t xml:space="preserve"> </w:t>
      </w:r>
      <w:hyperlink r:id="rId1" w:history="1">
        <w:r>
          <w:rPr>
            <w:rFonts w:ascii="Calibri" w:eastAsia="Calibri" w:hAnsi="Calibri" w:cs="Calibri"/>
            <w:color w:val="0000FF"/>
            <w:sz w:val="20"/>
            <w:szCs w:val="20"/>
            <w:u w:val="single" w:color="0000FF"/>
          </w:rPr>
          <w:t>https://www.cms.gov/Medicare/Medicare-Fee-for-Service-Payment/FQHCPPS/Downloads/FQHC-RHC-FAQs.pdf</w:t>
        </w:r>
      </w:hyperlink>
      <w:r>
        <w:rPr>
          <w:rFonts w:ascii="Calibri" w:eastAsia="Calibri" w:hAnsi="Calibri" w:cs="Calibr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E9B6AA8E">
      <w:start w:val="1"/>
      <w:numFmt w:val="bullet"/>
      <w:lvlText w:val=""/>
      <w:lvlJc w:val="left"/>
      <w:pPr>
        <w:ind w:left="720" w:hanging="360"/>
      </w:pPr>
      <w:rPr>
        <w:rFonts w:ascii="Wingdings" w:hAnsi="Wingdings"/>
        <w:b w:val="0"/>
        <w:bCs w:val="0"/>
      </w:rPr>
    </w:lvl>
    <w:lvl w:ilvl="1" w:tplc="87A8CBE8">
      <w:start w:val="1"/>
      <w:numFmt w:val="bullet"/>
      <w:lvlText w:val="o"/>
      <w:lvlJc w:val="left"/>
      <w:pPr>
        <w:tabs>
          <w:tab w:val="num" w:pos="1440"/>
        </w:tabs>
        <w:ind w:left="1440" w:hanging="360"/>
      </w:pPr>
      <w:rPr>
        <w:rFonts w:ascii="Courier New" w:hAnsi="Courier New"/>
      </w:rPr>
    </w:lvl>
    <w:lvl w:ilvl="2" w:tplc="36C696B0">
      <w:start w:val="1"/>
      <w:numFmt w:val="bullet"/>
      <w:lvlText w:val=""/>
      <w:lvlJc w:val="left"/>
      <w:pPr>
        <w:tabs>
          <w:tab w:val="num" w:pos="2160"/>
        </w:tabs>
        <w:ind w:left="2160" w:hanging="360"/>
      </w:pPr>
      <w:rPr>
        <w:rFonts w:ascii="Wingdings" w:hAnsi="Wingdings"/>
      </w:rPr>
    </w:lvl>
    <w:lvl w:ilvl="3" w:tplc="443E5C4A">
      <w:start w:val="1"/>
      <w:numFmt w:val="bullet"/>
      <w:lvlText w:val=""/>
      <w:lvlJc w:val="left"/>
      <w:pPr>
        <w:tabs>
          <w:tab w:val="num" w:pos="2880"/>
        </w:tabs>
        <w:ind w:left="2880" w:hanging="360"/>
      </w:pPr>
      <w:rPr>
        <w:rFonts w:ascii="Symbol" w:hAnsi="Symbol"/>
      </w:rPr>
    </w:lvl>
    <w:lvl w:ilvl="4" w:tplc="F89C1C58">
      <w:start w:val="1"/>
      <w:numFmt w:val="bullet"/>
      <w:lvlText w:val="o"/>
      <w:lvlJc w:val="left"/>
      <w:pPr>
        <w:tabs>
          <w:tab w:val="num" w:pos="3600"/>
        </w:tabs>
        <w:ind w:left="3600" w:hanging="360"/>
      </w:pPr>
      <w:rPr>
        <w:rFonts w:ascii="Courier New" w:hAnsi="Courier New"/>
      </w:rPr>
    </w:lvl>
    <w:lvl w:ilvl="5" w:tplc="D682B19A">
      <w:start w:val="1"/>
      <w:numFmt w:val="bullet"/>
      <w:lvlText w:val=""/>
      <w:lvlJc w:val="left"/>
      <w:pPr>
        <w:tabs>
          <w:tab w:val="num" w:pos="4320"/>
        </w:tabs>
        <w:ind w:left="4320" w:hanging="360"/>
      </w:pPr>
      <w:rPr>
        <w:rFonts w:ascii="Wingdings" w:hAnsi="Wingdings"/>
      </w:rPr>
    </w:lvl>
    <w:lvl w:ilvl="6" w:tplc="02AE1292">
      <w:start w:val="1"/>
      <w:numFmt w:val="bullet"/>
      <w:lvlText w:val=""/>
      <w:lvlJc w:val="left"/>
      <w:pPr>
        <w:tabs>
          <w:tab w:val="num" w:pos="5040"/>
        </w:tabs>
        <w:ind w:left="5040" w:hanging="360"/>
      </w:pPr>
      <w:rPr>
        <w:rFonts w:ascii="Symbol" w:hAnsi="Symbol"/>
      </w:rPr>
    </w:lvl>
    <w:lvl w:ilvl="7" w:tplc="D94CE9E2">
      <w:start w:val="1"/>
      <w:numFmt w:val="bullet"/>
      <w:lvlText w:val="o"/>
      <w:lvlJc w:val="left"/>
      <w:pPr>
        <w:tabs>
          <w:tab w:val="num" w:pos="5760"/>
        </w:tabs>
        <w:ind w:left="5760" w:hanging="360"/>
      </w:pPr>
      <w:rPr>
        <w:rFonts w:ascii="Courier New" w:hAnsi="Courier New"/>
      </w:rPr>
    </w:lvl>
    <w:lvl w:ilvl="8" w:tplc="3A4853D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9D4F6F8">
      <w:start w:val="1"/>
      <w:numFmt w:val="bullet"/>
      <w:lvlText w:val=""/>
      <w:lvlJc w:val="left"/>
      <w:pPr>
        <w:ind w:left="720" w:hanging="360"/>
      </w:pPr>
      <w:rPr>
        <w:rFonts w:ascii="Symbol" w:hAnsi="Symbol"/>
        <w:b w:val="0"/>
        <w:bCs w:val="0"/>
      </w:rPr>
    </w:lvl>
    <w:lvl w:ilvl="1" w:tplc="3B78DAE0">
      <w:start w:val="1"/>
      <w:numFmt w:val="bullet"/>
      <w:lvlText w:val="o"/>
      <w:lvlJc w:val="left"/>
      <w:pPr>
        <w:tabs>
          <w:tab w:val="num" w:pos="1440"/>
        </w:tabs>
        <w:ind w:left="1440" w:hanging="360"/>
      </w:pPr>
      <w:rPr>
        <w:rFonts w:ascii="Courier New" w:hAnsi="Courier New"/>
      </w:rPr>
    </w:lvl>
    <w:lvl w:ilvl="2" w:tplc="4D74F01A">
      <w:start w:val="1"/>
      <w:numFmt w:val="bullet"/>
      <w:lvlText w:val=""/>
      <w:lvlJc w:val="left"/>
      <w:pPr>
        <w:tabs>
          <w:tab w:val="num" w:pos="2160"/>
        </w:tabs>
        <w:ind w:left="2160" w:hanging="360"/>
      </w:pPr>
      <w:rPr>
        <w:rFonts w:ascii="Wingdings" w:hAnsi="Wingdings"/>
      </w:rPr>
    </w:lvl>
    <w:lvl w:ilvl="3" w:tplc="B57874B8">
      <w:start w:val="1"/>
      <w:numFmt w:val="bullet"/>
      <w:lvlText w:val=""/>
      <w:lvlJc w:val="left"/>
      <w:pPr>
        <w:tabs>
          <w:tab w:val="num" w:pos="2880"/>
        </w:tabs>
        <w:ind w:left="2880" w:hanging="360"/>
      </w:pPr>
      <w:rPr>
        <w:rFonts w:ascii="Symbol" w:hAnsi="Symbol"/>
      </w:rPr>
    </w:lvl>
    <w:lvl w:ilvl="4" w:tplc="27F08226">
      <w:start w:val="1"/>
      <w:numFmt w:val="bullet"/>
      <w:lvlText w:val="o"/>
      <w:lvlJc w:val="left"/>
      <w:pPr>
        <w:tabs>
          <w:tab w:val="num" w:pos="3600"/>
        </w:tabs>
        <w:ind w:left="3600" w:hanging="360"/>
      </w:pPr>
      <w:rPr>
        <w:rFonts w:ascii="Courier New" w:hAnsi="Courier New"/>
      </w:rPr>
    </w:lvl>
    <w:lvl w:ilvl="5" w:tplc="860E5B50">
      <w:start w:val="1"/>
      <w:numFmt w:val="bullet"/>
      <w:lvlText w:val=""/>
      <w:lvlJc w:val="left"/>
      <w:pPr>
        <w:tabs>
          <w:tab w:val="num" w:pos="4320"/>
        </w:tabs>
        <w:ind w:left="4320" w:hanging="360"/>
      </w:pPr>
      <w:rPr>
        <w:rFonts w:ascii="Wingdings" w:hAnsi="Wingdings"/>
      </w:rPr>
    </w:lvl>
    <w:lvl w:ilvl="6" w:tplc="A8B0EBE4">
      <w:start w:val="1"/>
      <w:numFmt w:val="bullet"/>
      <w:lvlText w:val=""/>
      <w:lvlJc w:val="left"/>
      <w:pPr>
        <w:tabs>
          <w:tab w:val="num" w:pos="5040"/>
        </w:tabs>
        <w:ind w:left="5040" w:hanging="360"/>
      </w:pPr>
      <w:rPr>
        <w:rFonts w:ascii="Symbol" w:hAnsi="Symbol"/>
      </w:rPr>
    </w:lvl>
    <w:lvl w:ilvl="7" w:tplc="462E9FC8">
      <w:start w:val="1"/>
      <w:numFmt w:val="bullet"/>
      <w:lvlText w:val="o"/>
      <w:lvlJc w:val="left"/>
      <w:pPr>
        <w:tabs>
          <w:tab w:val="num" w:pos="5760"/>
        </w:tabs>
        <w:ind w:left="5760" w:hanging="360"/>
      </w:pPr>
      <w:rPr>
        <w:rFonts w:ascii="Courier New" w:hAnsi="Courier New"/>
      </w:rPr>
    </w:lvl>
    <w:lvl w:ilvl="8" w:tplc="6258323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3A"/>
    <w:rsid w:val="0048133A"/>
    <w:rsid w:val="00573191"/>
    <w:rsid w:val="00880FAC"/>
    <w:rsid w:val="00A60561"/>
    <w:rsid w:val="00AF270E"/>
    <w:rsid w:val="00F23C63"/>
    <w:rsid w:val="00FD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AE1A"/>
  <w15:docId w15:val="{47B6DED8-E3BD-4F2C-99F6-A08FEA52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805BCE"/>
    <w:rPr>
      <w:vertAlign w:val="superscript"/>
    </w:rPr>
  </w:style>
  <w:style w:type="paragraph" w:styleId="EndnoteText">
    <w:name w:val="endnote text"/>
    <w:basedOn w:val="Normal"/>
    <w:rsid w:val="00805BCE"/>
    <w:rPr>
      <w:sz w:val="20"/>
      <w:szCs w:val="20"/>
    </w:rPr>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 w:type="paragraph" w:styleId="Header">
    <w:name w:val="header"/>
    <w:basedOn w:val="Normal"/>
    <w:link w:val="HeaderChar"/>
    <w:uiPriority w:val="99"/>
    <w:unhideWhenUsed/>
    <w:rsid w:val="00AF270E"/>
    <w:pPr>
      <w:tabs>
        <w:tab w:val="center" w:pos="4680"/>
        <w:tab w:val="right" w:pos="9360"/>
      </w:tabs>
    </w:pPr>
  </w:style>
  <w:style w:type="character" w:customStyle="1" w:styleId="HeaderChar">
    <w:name w:val="Header Char"/>
    <w:basedOn w:val="DefaultParagraphFont"/>
    <w:link w:val="Header"/>
    <w:uiPriority w:val="99"/>
    <w:rsid w:val="00AF270E"/>
    <w:rPr>
      <w:sz w:val="24"/>
      <w:szCs w:val="24"/>
    </w:rPr>
  </w:style>
  <w:style w:type="paragraph" w:styleId="Footer">
    <w:name w:val="footer"/>
    <w:basedOn w:val="Normal"/>
    <w:link w:val="FooterChar"/>
    <w:uiPriority w:val="99"/>
    <w:unhideWhenUsed/>
    <w:rsid w:val="00AF270E"/>
    <w:pPr>
      <w:tabs>
        <w:tab w:val="center" w:pos="4680"/>
        <w:tab w:val="right" w:pos="9360"/>
      </w:tabs>
    </w:pPr>
  </w:style>
  <w:style w:type="character" w:customStyle="1" w:styleId="FooterChar">
    <w:name w:val="Footer Char"/>
    <w:basedOn w:val="DefaultParagraphFont"/>
    <w:link w:val="Footer"/>
    <w:uiPriority w:val="99"/>
    <w:rsid w:val="00AF270E"/>
    <w:rPr>
      <w:sz w:val="24"/>
      <w:szCs w:val="24"/>
    </w:rPr>
  </w:style>
  <w:style w:type="paragraph" w:styleId="BalloonText">
    <w:name w:val="Balloon Text"/>
    <w:basedOn w:val="Normal"/>
    <w:link w:val="BalloonTextChar"/>
    <w:uiPriority w:val="99"/>
    <w:semiHidden/>
    <w:unhideWhenUsed/>
    <w:rsid w:val="00FD6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ms.gov/Medicare/Medicare-Fee-for-Service-Payment/FQHCPPS/Downloads/FQHC-RHC-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Modica</dc:creator>
  <cp:lastModifiedBy>Cheryl Modica</cp:lastModifiedBy>
  <cp:revision>3</cp:revision>
  <cp:lastPrinted>2020-02-12T11:31:00Z</cp:lastPrinted>
  <dcterms:created xsi:type="dcterms:W3CDTF">2020-02-12T16:11:00Z</dcterms:created>
  <dcterms:modified xsi:type="dcterms:W3CDTF">2020-02-12T16:11:00Z</dcterms:modified>
</cp:coreProperties>
</file>