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19FF8" w14:textId="77777777" w:rsidR="00326885" w:rsidRDefault="00326885" w:rsidP="00326885">
      <w:pPr>
        <w:spacing w:line="221" w:lineRule="auto"/>
        <w:rPr>
          <w:rFonts w:ascii="Calibri" w:hAnsi="Calibri" w:cs="Calibri"/>
          <w:color w:val="C00000"/>
        </w:rPr>
      </w:pPr>
    </w:p>
    <w:p w14:paraId="6EB2F516" w14:textId="77777777" w:rsidR="00326885" w:rsidRDefault="00326885" w:rsidP="00326885">
      <w:pPr>
        <w:spacing w:line="221" w:lineRule="auto"/>
        <w:rPr>
          <w:rFonts w:ascii="Calibri" w:hAnsi="Calibri" w:cs="Calibri"/>
          <w:color w:val="C00000"/>
        </w:rPr>
      </w:pPr>
    </w:p>
    <w:p w14:paraId="627140E8" w14:textId="77777777" w:rsidR="00326885" w:rsidRPr="000B43F9" w:rsidRDefault="00326885" w:rsidP="00326885">
      <w:pPr>
        <w:spacing w:line="221" w:lineRule="auto"/>
        <w:rPr>
          <w:b/>
        </w:rPr>
      </w:pPr>
      <w:r w:rsidRPr="000B43F9">
        <w:rPr>
          <w:b/>
          <w:color w:val="C00000"/>
        </w:rPr>
        <w:t>BKD, LLP</w:t>
      </w:r>
      <w:r w:rsidRPr="000B43F9">
        <w:t xml:space="preserve"> (</w:t>
      </w:r>
      <w:r w:rsidRPr="000B43F9">
        <w:rPr>
          <w:b/>
        </w:rPr>
        <w:t>BKD</w:t>
      </w:r>
      <w:r w:rsidRPr="000B43F9">
        <w:t>) is pleased to provide you with this example policy.</w:t>
      </w:r>
      <w:r w:rsidRPr="000B43F9" w:rsidDel="00F0428E">
        <w:t xml:space="preserve"> </w:t>
      </w:r>
      <w:r w:rsidRPr="000B43F9">
        <w:t xml:space="preserve"> This example is for your exclusive use and may not be copied or modified for use by any other party without the permission of </w:t>
      </w:r>
      <w:r w:rsidRPr="000B43F9">
        <w:rPr>
          <w:b/>
        </w:rPr>
        <w:t>BKD</w:t>
      </w:r>
      <w:r w:rsidRPr="000B43F9">
        <w:t>, LLP.</w:t>
      </w:r>
    </w:p>
    <w:p w14:paraId="2DD3DE1F" w14:textId="77777777" w:rsidR="00326885" w:rsidRPr="000B43F9" w:rsidRDefault="00326885" w:rsidP="00326885">
      <w:pPr>
        <w:rPr>
          <w:b/>
        </w:rPr>
      </w:pPr>
    </w:p>
    <w:p w14:paraId="33FD1CEF" w14:textId="77777777" w:rsidR="00326885" w:rsidRPr="000B43F9" w:rsidRDefault="00326885" w:rsidP="00326885">
      <w:pPr>
        <w:pStyle w:val="Header"/>
        <w:rPr>
          <w:b/>
        </w:rPr>
      </w:pPr>
      <w:r w:rsidRPr="000B43F9">
        <w:t xml:space="preserve">You agree to assume full responsibility for using </w:t>
      </w:r>
      <w:r w:rsidRPr="000B43F9">
        <w:rPr>
          <w:b/>
        </w:rPr>
        <w:t>BKD</w:t>
      </w:r>
      <w:r w:rsidRPr="000B43F9">
        <w:t xml:space="preserve">-designed example policies and procedures. </w:t>
      </w:r>
      <w:r w:rsidRPr="000B43F9">
        <w:rPr>
          <w:b/>
        </w:rPr>
        <w:t>BKD</w:t>
      </w:r>
      <w:r w:rsidRPr="000B43F9">
        <w:t xml:space="preserve"> will not review or supervise any of the work performed by your personnel working with our examples. By providing these examples, </w:t>
      </w:r>
      <w:r w:rsidRPr="000B43F9">
        <w:rPr>
          <w:b/>
        </w:rPr>
        <w:t>BKD</w:t>
      </w:r>
      <w:r w:rsidRPr="000B43F9">
        <w:t xml:space="preserve"> is not making management decisions or performing management responsibilities. </w:t>
      </w:r>
      <w:r w:rsidRPr="000B43F9">
        <w:rPr>
          <w:bCs/>
        </w:rPr>
        <w:t>T</w:t>
      </w:r>
      <w:r w:rsidRPr="000B43F9">
        <w:t xml:space="preserve">hat responsibility </w:t>
      </w:r>
      <w:proofErr w:type="gramStart"/>
      <w:r w:rsidRPr="000B43F9">
        <w:t>remains with management and the Board of Directors at all times</w:t>
      </w:r>
      <w:proofErr w:type="gramEnd"/>
      <w:r w:rsidRPr="000B43F9">
        <w:t>.</w:t>
      </w:r>
    </w:p>
    <w:p w14:paraId="104BD638" w14:textId="77777777" w:rsidR="00326885" w:rsidRPr="000B43F9" w:rsidRDefault="00326885" w:rsidP="00326885">
      <w:pPr>
        <w:pStyle w:val="Footer"/>
        <w:rPr>
          <w:b/>
        </w:rPr>
      </w:pPr>
    </w:p>
    <w:p w14:paraId="4865CA35" w14:textId="77777777" w:rsidR="00326885" w:rsidRPr="000B43F9" w:rsidRDefault="00326885" w:rsidP="00326885">
      <w:pPr>
        <w:pStyle w:val="Footer"/>
        <w:rPr>
          <w:b/>
        </w:rPr>
      </w:pPr>
      <w:r w:rsidRPr="000B43F9">
        <w:rPr>
          <w:b/>
        </w:rPr>
        <w:t>BKD</w:t>
      </w:r>
      <w:r w:rsidRPr="000B43F9">
        <w:t xml:space="preserve"> does not provide any warranties </w:t>
      </w:r>
      <w:proofErr w:type="gramStart"/>
      <w:r w:rsidRPr="000B43F9">
        <w:t>in regards to</w:t>
      </w:r>
      <w:proofErr w:type="gramEnd"/>
      <w:r w:rsidRPr="000B43F9">
        <w:t xml:space="preserve"> example policies and procedures. Oversight agencies including, but not limited to, the Department of Health and Human Services (including the Bureau of Primary Health Care), the Office of Inspector General, or any other potential oversight agency may have a different understanding and/or interpretation of the requirements of your organization. The items included do not constitute a guarantee of compliance or acceptance by other oversight agencies. </w:t>
      </w:r>
    </w:p>
    <w:p w14:paraId="040B1F03" w14:textId="77777777" w:rsidR="00326885" w:rsidRPr="000B43F9" w:rsidRDefault="00326885" w:rsidP="00326885">
      <w:pPr>
        <w:rPr>
          <w:b/>
        </w:rPr>
      </w:pPr>
    </w:p>
    <w:p w14:paraId="39B15BB4" w14:textId="77777777" w:rsidR="00326885" w:rsidRPr="000B43F9" w:rsidRDefault="00326885" w:rsidP="00326885">
      <w:pPr>
        <w:pStyle w:val="Header"/>
        <w:rPr>
          <w:b/>
        </w:rPr>
      </w:pPr>
      <w:r w:rsidRPr="000B43F9">
        <w:t>Additionally, the accounting standards, applicable laws, regulations and regulators’ enforcement activities may change over time requiring modifications to these example policies and procedures.  Required modifications to these examples are your responsibility.</w:t>
      </w:r>
    </w:p>
    <w:p w14:paraId="6417E945" w14:textId="77777777" w:rsidR="00326885" w:rsidRPr="000B43F9" w:rsidRDefault="00326885" w:rsidP="00326885">
      <w:pPr>
        <w:pStyle w:val="Footer"/>
        <w:rPr>
          <w:b/>
        </w:rPr>
      </w:pPr>
    </w:p>
    <w:p w14:paraId="045CF6F4" w14:textId="77777777" w:rsidR="00326885" w:rsidRPr="000B43F9" w:rsidRDefault="00326885" w:rsidP="00326885">
      <w:pPr>
        <w:rPr>
          <w:b/>
        </w:rPr>
      </w:pPr>
      <w:r w:rsidRPr="000B43F9">
        <w:t xml:space="preserve">The example(s) are not designed to prevent or discover errors, misrepresentations, fraud or illegal acts, and you agree </w:t>
      </w:r>
      <w:r w:rsidRPr="000B43F9">
        <w:rPr>
          <w:b/>
        </w:rPr>
        <w:t>BKD</w:t>
      </w:r>
      <w:r w:rsidRPr="000B43F9">
        <w:t xml:space="preserve"> has no such responsibility. Because of the limits in any internal control structure, errors, fraud, illegal acts or instances of noncompliance may occur and not be detected. </w:t>
      </w:r>
    </w:p>
    <w:p w14:paraId="7D7A9DEB" w14:textId="77777777" w:rsidR="00326885" w:rsidRPr="000B43F9" w:rsidRDefault="00326885" w:rsidP="00326885">
      <w:pPr>
        <w:pStyle w:val="Header"/>
        <w:rPr>
          <w:b/>
        </w:rPr>
      </w:pPr>
    </w:p>
    <w:p w14:paraId="640931D0" w14:textId="77777777" w:rsidR="00326885" w:rsidRPr="000B43F9" w:rsidRDefault="00326885" w:rsidP="00326885">
      <w:pPr>
        <w:pStyle w:val="Header"/>
        <w:rPr>
          <w:b/>
        </w:rPr>
      </w:pPr>
      <w:r w:rsidRPr="000B43F9">
        <w:rPr>
          <w:b/>
        </w:rPr>
        <w:t>BKD</w:t>
      </w:r>
      <w:r w:rsidRPr="000B43F9">
        <w:t xml:space="preserve"> can be compelled to provide information under the legal process. In addition, we may be requested by regulatory or enforcement bodies to make certain workpapers available to them pursuant to authority granted by law or regulation. You agree that we have no legal responsibility to you in the event we provide such documents or information.</w:t>
      </w:r>
    </w:p>
    <w:p w14:paraId="4FC8D2B3" w14:textId="77777777" w:rsidR="006C6C6C" w:rsidRPr="000B43F9" w:rsidRDefault="00F52335" w:rsidP="006C6C6C">
      <w:pPr>
        <w:rPr>
          <w:b/>
        </w:rPr>
      </w:pPr>
      <w:r w:rsidRPr="000B43F9">
        <w:rPr>
          <w:b/>
        </w:rPr>
        <w:br w:type="page"/>
      </w:r>
      <w:r w:rsidR="006C6C6C" w:rsidRPr="000B43F9">
        <w:rPr>
          <w:b/>
        </w:rPr>
        <w:lastRenderedPageBreak/>
        <w:t>Springfield Community Health Center</w:t>
      </w:r>
    </w:p>
    <w:p w14:paraId="66480A92" w14:textId="77777777" w:rsidR="006C6C6C" w:rsidRPr="000B43F9" w:rsidRDefault="006C6C6C" w:rsidP="006C6C6C">
      <w:pPr>
        <w:rPr>
          <w:b/>
        </w:rPr>
      </w:pPr>
      <w:r w:rsidRPr="000B43F9">
        <w:rPr>
          <w:b/>
        </w:rPr>
        <w:t>Federal Cash Drawdown Policy</w:t>
      </w:r>
    </w:p>
    <w:p w14:paraId="74CA724E" w14:textId="77777777" w:rsidR="006C6C6C" w:rsidRPr="000B43F9" w:rsidRDefault="006C6C6C" w:rsidP="006C6C6C">
      <w:pPr>
        <w:rPr>
          <w:b/>
        </w:rPr>
      </w:pPr>
      <w:r w:rsidRPr="000B43F9">
        <w:rPr>
          <w:b/>
        </w:rPr>
        <w:t>Date Last Updated:  _______________</w:t>
      </w:r>
    </w:p>
    <w:p w14:paraId="1590106D" w14:textId="77777777" w:rsidR="006C6C6C" w:rsidRPr="000B43F9" w:rsidRDefault="006C6C6C" w:rsidP="006C6C6C">
      <w:pPr>
        <w:rPr>
          <w:b/>
        </w:rPr>
      </w:pPr>
      <w:r w:rsidRPr="000B43F9">
        <w:rPr>
          <w:b/>
        </w:rPr>
        <w:t>Board Approved:      _______________</w:t>
      </w:r>
    </w:p>
    <w:p w14:paraId="52D2E343" w14:textId="77777777" w:rsidR="006C6C6C" w:rsidRPr="000B43F9" w:rsidRDefault="006C6C6C" w:rsidP="006C6C6C"/>
    <w:p w14:paraId="7F656DFB" w14:textId="77777777" w:rsidR="006C6C6C" w:rsidRPr="000B43F9" w:rsidRDefault="006C6C6C" w:rsidP="006C6C6C">
      <w:pPr>
        <w:ind w:left="720"/>
        <w:rPr>
          <w:b/>
        </w:rPr>
      </w:pPr>
    </w:p>
    <w:p w14:paraId="713944EB" w14:textId="77777777" w:rsidR="006C6C6C" w:rsidRPr="000B43F9" w:rsidRDefault="006C6C6C" w:rsidP="00841BD0">
      <w:pPr>
        <w:numPr>
          <w:ilvl w:val="0"/>
          <w:numId w:val="1"/>
        </w:numPr>
        <w:rPr>
          <w:b/>
        </w:rPr>
      </w:pPr>
      <w:r w:rsidRPr="000B43F9">
        <w:rPr>
          <w:b/>
        </w:rPr>
        <w:t>Federal Cash Drawdown:  Policy</w:t>
      </w:r>
    </w:p>
    <w:p w14:paraId="3D15EC9F" w14:textId="77777777" w:rsidR="006C6C6C" w:rsidRPr="000B43F9" w:rsidRDefault="006C6C6C" w:rsidP="006C6C6C">
      <w:pPr>
        <w:pStyle w:val="Heading2"/>
        <w:rPr>
          <w:rFonts w:ascii="Times New Roman" w:hAnsi="Times New Roman" w:cs="Times New Roman"/>
          <w:b w:val="0"/>
          <w:i w:val="0"/>
          <w:sz w:val="24"/>
          <w:szCs w:val="24"/>
        </w:rPr>
      </w:pPr>
      <w:r w:rsidRPr="000B43F9">
        <w:rPr>
          <w:rFonts w:ascii="Times New Roman" w:hAnsi="Times New Roman" w:cs="Times New Roman"/>
          <w:b w:val="0"/>
          <w:i w:val="0"/>
          <w:sz w:val="24"/>
          <w:szCs w:val="24"/>
        </w:rPr>
        <w:t>The organization is committed to ensuring that federal cash draws are made and administered in a manner consistent with the payment standards required by the U.S. Department of Health and Human Services found at 45 CFR 75 (HHS adoption of Uniform Grant Guidance 2 CFR 200), state and local statutes and executive orders as applicable.  Revisions to Uniform Grant Guidance are automatically included in the CHC’s policy.</w:t>
      </w:r>
    </w:p>
    <w:p w14:paraId="0D237658" w14:textId="77777777" w:rsidR="00E12DC3" w:rsidRPr="000B43F9" w:rsidRDefault="00E12DC3" w:rsidP="00E12DC3"/>
    <w:p w14:paraId="247FB4A2" w14:textId="77777777" w:rsidR="00E12DC3" w:rsidRPr="000B43F9" w:rsidRDefault="00E12DC3" w:rsidP="00E12DC3">
      <w:r w:rsidRPr="000B43F9">
        <w:t xml:space="preserve">It is the policy of [CHC] to minimize the time elapsing between the transfer of funds from the Payment Management System (PMS) and the disbursement of those funds by [CHC] and to ensure the draws are for expenses that have already occurred. </w:t>
      </w:r>
    </w:p>
    <w:p w14:paraId="52417A33" w14:textId="77777777" w:rsidR="00E12DC3" w:rsidRPr="000B43F9" w:rsidRDefault="00E12DC3" w:rsidP="00E12DC3">
      <w:pPr>
        <w:pStyle w:val="ListParagraph"/>
        <w:numPr>
          <w:ilvl w:val="0"/>
          <w:numId w:val="21"/>
        </w:numPr>
        <w:spacing w:after="160" w:line="259" w:lineRule="auto"/>
        <w:contextualSpacing/>
      </w:pPr>
      <w:r w:rsidRPr="000B43F9">
        <w:t>The amount drawn down will be limited to the minimum amount needed to cover allowable project costs that have already occurred or payroll expenses where the time has already been served.</w:t>
      </w:r>
    </w:p>
    <w:p w14:paraId="34F9DE14" w14:textId="77777777" w:rsidR="00E12DC3" w:rsidRPr="000B43F9" w:rsidRDefault="00E12DC3" w:rsidP="00E12DC3">
      <w:pPr>
        <w:pStyle w:val="ListParagraph"/>
        <w:numPr>
          <w:ilvl w:val="0"/>
          <w:numId w:val="21"/>
        </w:numPr>
        <w:spacing w:after="160" w:line="259" w:lineRule="auto"/>
        <w:contextualSpacing/>
      </w:pPr>
      <w:r w:rsidRPr="000B43F9">
        <w:t>The draws will be timed in accordance with the actual immediate cash requirements of carrying out the approved project to the extent the timing is administratively feasible.</w:t>
      </w:r>
    </w:p>
    <w:p w14:paraId="70C98027" w14:textId="77777777" w:rsidR="00E12DC3" w:rsidRPr="000B43F9" w:rsidRDefault="00E12DC3" w:rsidP="00E12DC3">
      <w:pPr>
        <w:pStyle w:val="ListParagraph"/>
        <w:numPr>
          <w:ilvl w:val="0"/>
          <w:numId w:val="21"/>
        </w:numPr>
        <w:spacing w:after="160" w:line="259" w:lineRule="auto"/>
        <w:contextualSpacing/>
      </w:pPr>
      <w:r w:rsidRPr="000B43F9">
        <w:t xml:space="preserve">The draws will not be made to cover future expenditures. </w:t>
      </w:r>
    </w:p>
    <w:p w14:paraId="7D463EAB" w14:textId="77777777" w:rsidR="00E12DC3" w:rsidRPr="000B43F9" w:rsidRDefault="00E12DC3" w:rsidP="00E12DC3"/>
    <w:p w14:paraId="0ADF128C" w14:textId="77777777" w:rsidR="006C6C6C" w:rsidRPr="000B43F9" w:rsidRDefault="006C6C6C" w:rsidP="006C6C6C">
      <w:pPr>
        <w:ind w:left="1080"/>
      </w:pPr>
    </w:p>
    <w:p w14:paraId="2AD7320B" w14:textId="77777777" w:rsidR="006C6C6C" w:rsidRPr="000B43F9" w:rsidRDefault="006C6C6C" w:rsidP="006C6C6C">
      <w:pPr>
        <w:numPr>
          <w:ilvl w:val="0"/>
          <w:numId w:val="1"/>
        </w:numPr>
        <w:rPr>
          <w:b/>
        </w:rPr>
      </w:pPr>
      <w:r w:rsidRPr="000B43F9">
        <w:rPr>
          <w:b/>
        </w:rPr>
        <w:t>Accountability</w:t>
      </w:r>
    </w:p>
    <w:p w14:paraId="1CA797C8" w14:textId="77777777" w:rsidR="006C6C6C" w:rsidRPr="000B43F9" w:rsidRDefault="006C6C6C" w:rsidP="006C6C6C">
      <w:pPr>
        <w:ind w:left="720"/>
        <w:rPr>
          <w:b/>
        </w:rPr>
      </w:pPr>
    </w:p>
    <w:p w14:paraId="64768794" w14:textId="77777777" w:rsidR="006C6C6C" w:rsidRPr="000B43F9" w:rsidRDefault="006C6C6C" w:rsidP="006C6C6C">
      <w:pPr>
        <w:pStyle w:val="ListParagraph"/>
      </w:pPr>
      <w:r w:rsidRPr="000B43F9">
        <w:t>The following Health Center staff are responsible for ensuring compliance with and overseeing the following aspects of this board approved policy:</w:t>
      </w:r>
    </w:p>
    <w:p w14:paraId="323C3440" w14:textId="77777777" w:rsidR="006C6C6C" w:rsidRPr="000B43F9" w:rsidRDefault="006C6C6C" w:rsidP="006C6C6C">
      <w:pPr>
        <w:pStyle w:val="ListParagraph"/>
      </w:pPr>
    </w:p>
    <w:p w14:paraId="4AAD3BEA" w14:textId="77777777" w:rsidR="006C6C6C" w:rsidRPr="000B43F9" w:rsidRDefault="006C6C6C" w:rsidP="006C6C6C">
      <w:pPr>
        <w:pStyle w:val="ListParagraph"/>
        <w:numPr>
          <w:ilvl w:val="0"/>
          <w:numId w:val="19"/>
        </w:numPr>
        <w:rPr>
          <w:b/>
        </w:rPr>
      </w:pPr>
      <w:r w:rsidRPr="000B43F9">
        <w:t>Chief Financial Officer</w:t>
      </w:r>
    </w:p>
    <w:p w14:paraId="72E0507A" w14:textId="77777777" w:rsidR="006C6C6C" w:rsidRPr="000B43F9" w:rsidRDefault="006C6C6C" w:rsidP="006C6C6C">
      <w:pPr>
        <w:ind w:left="720"/>
        <w:rPr>
          <w:b/>
        </w:rPr>
      </w:pPr>
    </w:p>
    <w:p w14:paraId="227C5BAC" w14:textId="77777777" w:rsidR="006C6C6C" w:rsidRPr="000B43F9" w:rsidRDefault="006C6C6C" w:rsidP="00841BD0">
      <w:pPr>
        <w:numPr>
          <w:ilvl w:val="0"/>
          <w:numId w:val="1"/>
        </w:numPr>
        <w:rPr>
          <w:b/>
        </w:rPr>
      </w:pPr>
      <w:r w:rsidRPr="000B43F9">
        <w:rPr>
          <w:b/>
        </w:rPr>
        <w:t>Federal Cash Drawdown:  Procedures</w:t>
      </w:r>
    </w:p>
    <w:p w14:paraId="17D598FF" w14:textId="77777777" w:rsidR="006C6C6C" w:rsidRPr="000B43F9" w:rsidRDefault="006C6C6C" w:rsidP="006C6C6C">
      <w:pPr>
        <w:pStyle w:val="Heading2"/>
        <w:rPr>
          <w:rFonts w:ascii="Times New Roman" w:hAnsi="Times New Roman" w:cs="Times New Roman"/>
          <w:b w:val="0"/>
          <w:i w:val="0"/>
          <w:sz w:val="24"/>
          <w:szCs w:val="24"/>
        </w:rPr>
      </w:pPr>
      <w:r w:rsidRPr="000B43F9">
        <w:rPr>
          <w:rFonts w:ascii="Times New Roman" w:hAnsi="Times New Roman" w:cs="Times New Roman"/>
          <w:b w:val="0"/>
          <w:i w:val="0"/>
          <w:sz w:val="24"/>
          <w:szCs w:val="24"/>
        </w:rPr>
        <w:t>This policy applies to the payment received for direct or passed-through federal grant funds.</w:t>
      </w:r>
    </w:p>
    <w:p w14:paraId="785B3B5C" w14:textId="77777777" w:rsidR="006C6C6C" w:rsidRPr="000B43F9" w:rsidRDefault="006C6C6C" w:rsidP="006C6C6C"/>
    <w:p w14:paraId="5F01389F" w14:textId="77777777" w:rsidR="006C6C6C" w:rsidRPr="000B43F9" w:rsidRDefault="006C6C6C" w:rsidP="006C6C6C">
      <w:pPr>
        <w:numPr>
          <w:ilvl w:val="1"/>
          <w:numId w:val="1"/>
        </w:numPr>
      </w:pPr>
      <w:r w:rsidRPr="000B43F9">
        <w:t>Bank Account Requirement</w:t>
      </w:r>
    </w:p>
    <w:p w14:paraId="4CE623DF" w14:textId="77777777" w:rsidR="006C6C6C" w:rsidRPr="000B43F9" w:rsidRDefault="006C6C6C" w:rsidP="006C6C6C">
      <w:pPr>
        <w:ind w:left="1080"/>
      </w:pPr>
    </w:p>
    <w:p w14:paraId="33FB025F" w14:textId="77777777" w:rsidR="006C6C6C" w:rsidRPr="000B43F9" w:rsidRDefault="006C6C6C" w:rsidP="006C6C6C">
      <w:pPr>
        <w:ind w:left="1080"/>
        <w:rPr>
          <w:b/>
          <w:bCs/>
        </w:rPr>
      </w:pPr>
      <w:r w:rsidRPr="000B43F9">
        <w:rPr>
          <w:bCs/>
        </w:rPr>
        <w:t>The account federal funds are drawn into and kept until administratively feasible to disburse will meet the following criteria:</w:t>
      </w:r>
    </w:p>
    <w:p w14:paraId="3F96C09E" w14:textId="77777777" w:rsidR="006C6C6C" w:rsidRPr="000B43F9" w:rsidRDefault="006C6C6C" w:rsidP="006C6C6C">
      <w:pPr>
        <w:ind w:left="1080"/>
        <w:rPr>
          <w:b/>
        </w:rPr>
      </w:pPr>
    </w:p>
    <w:p w14:paraId="15683987" w14:textId="77777777" w:rsidR="006C6C6C" w:rsidRPr="000B43F9" w:rsidRDefault="006C6C6C" w:rsidP="006C6C6C">
      <w:pPr>
        <w:numPr>
          <w:ilvl w:val="0"/>
          <w:numId w:val="5"/>
        </w:numPr>
        <w:tabs>
          <w:tab w:val="clear" w:pos="5040"/>
          <w:tab w:val="num" w:pos="2160"/>
        </w:tabs>
        <w:ind w:left="2160" w:hanging="360"/>
        <w:rPr>
          <w:b/>
          <w:bCs/>
        </w:rPr>
      </w:pPr>
      <w:r w:rsidRPr="000B43F9">
        <w:rPr>
          <w:bCs/>
        </w:rPr>
        <w:t xml:space="preserve">FDIC insured </w:t>
      </w:r>
    </w:p>
    <w:p w14:paraId="5A73B87F" w14:textId="77777777" w:rsidR="006C6C6C" w:rsidRPr="000B43F9" w:rsidRDefault="006C6C6C" w:rsidP="006C6C6C">
      <w:pPr>
        <w:numPr>
          <w:ilvl w:val="0"/>
          <w:numId w:val="5"/>
        </w:numPr>
        <w:tabs>
          <w:tab w:val="clear" w:pos="5040"/>
          <w:tab w:val="num" w:pos="2160"/>
        </w:tabs>
        <w:ind w:left="2160" w:hanging="360"/>
        <w:rPr>
          <w:b/>
          <w:bCs/>
        </w:rPr>
      </w:pPr>
      <w:r w:rsidRPr="000B43F9">
        <w:rPr>
          <w:bCs/>
        </w:rPr>
        <w:lastRenderedPageBreak/>
        <w:t>Interest bearing – unless the best prevailing market rate available would not be expected to earn interest in excess of $500 per year on Federal cash balances</w:t>
      </w:r>
    </w:p>
    <w:p w14:paraId="2479D2C7" w14:textId="77777777" w:rsidR="006C6C6C" w:rsidRPr="000B43F9" w:rsidRDefault="006C6C6C" w:rsidP="00841BD0">
      <w:pPr>
        <w:numPr>
          <w:ilvl w:val="0"/>
          <w:numId w:val="5"/>
        </w:numPr>
        <w:tabs>
          <w:tab w:val="clear" w:pos="5040"/>
          <w:tab w:val="num" w:pos="2160"/>
        </w:tabs>
        <w:ind w:left="2160" w:hanging="360"/>
        <w:rPr>
          <w:b/>
          <w:bCs/>
        </w:rPr>
      </w:pPr>
      <w:r w:rsidRPr="000B43F9">
        <w:rPr>
          <w:bCs/>
        </w:rPr>
        <w:t>Interest amounts earned on the Federal funds in excess of $500 per year will be refunded to the granting agency as required.</w:t>
      </w:r>
    </w:p>
    <w:p w14:paraId="7097F2AF" w14:textId="77777777" w:rsidR="006C6C6C" w:rsidRPr="000B43F9" w:rsidRDefault="006C6C6C" w:rsidP="006C6C6C">
      <w:pPr>
        <w:tabs>
          <w:tab w:val="num" w:pos="2160"/>
        </w:tabs>
        <w:ind w:left="1800"/>
        <w:rPr>
          <w:bCs/>
        </w:rPr>
      </w:pPr>
    </w:p>
    <w:p w14:paraId="10460DFA" w14:textId="77777777" w:rsidR="006C6C6C" w:rsidRPr="000B43F9" w:rsidRDefault="006C6C6C" w:rsidP="006C6C6C">
      <w:pPr>
        <w:numPr>
          <w:ilvl w:val="1"/>
          <w:numId w:val="1"/>
        </w:numPr>
      </w:pPr>
      <w:r w:rsidRPr="000B43F9">
        <w:t>Documentation</w:t>
      </w:r>
    </w:p>
    <w:p w14:paraId="6A92E099" w14:textId="77777777" w:rsidR="006C6C6C" w:rsidRPr="000B43F9" w:rsidRDefault="006C6C6C" w:rsidP="006C6C6C">
      <w:pPr>
        <w:ind w:left="1080"/>
      </w:pPr>
    </w:p>
    <w:p w14:paraId="1FBF30F0" w14:textId="77777777" w:rsidR="006C6C6C" w:rsidRPr="000B43F9" w:rsidRDefault="006C6C6C" w:rsidP="006C6C6C">
      <w:pPr>
        <w:ind w:left="1080"/>
        <w:rPr>
          <w:b/>
          <w:bCs/>
        </w:rPr>
      </w:pPr>
      <w:r w:rsidRPr="000B43F9">
        <w:rPr>
          <w:bCs/>
        </w:rPr>
        <w:t xml:space="preserve">The documentation maintained for each federal grant payment will account for the receipt, obligation and expenditure of funds.  The documentation will include the following whether the draw is in advance or as reimbursement to the Organization for expenditures that have already been incurred:  </w:t>
      </w:r>
    </w:p>
    <w:p w14:paraId="04C53B7C" w14:textId="77777777" w:rsidR="006C6C6C" w:rsidRPr="000B43F9" w:rsidRDefault="006C6C6C" w:rsidP="006C6C6C">
      <w:pPr>
        <w:ind w:left="1080"/>
        <w:rPr>
          <w:b/>
          <w:bCs/>
        </w:rPr>
      </w:pPr>
    </w:p>
    <w:p w14:paraId="1D87C4CA" w14:textId="77777777" w:rsidR="006C6C6C" w:rsidRPr="000B43F9" w:rsidRDefault="006C6C6C" w:rsidP="006C6C6C">
      <w:pPr>
        <w:numPr>
          <w:ilvl w:val="0"/>
          <w:numId w:val="14"/>
        </w:numPr>
        <w:rPr>
          <w:b/>
          <w:bCs/>
        </w:rPr>
      </w:pPr>
      <w:r w:rsidRPr="000B43F9">
        <w:rPr>
          <w:bCs/>
        </w:rPr>
        <w:t xml:space="preserve">A listing of the expenditures that are being reimbursed in </w:t>
      </w:r>
      <w:proofErr w:type="gramStart"/>
      <w:r w:rsidRPr="000B43F9">
        <w:rPr>
          <w:bCs/>
        </w:rPr>
        <w:t>sufficient</w:t>
      </w:r>
      <w:proofErr w:type="gramEnd"/>
      <w:r w:rsidRPr="000B43F9">
        <w:rPr>
          <w:bCs/>
        </w:rPr>
        <w:t xml:space="preserve"> detail to satisfy the documentation requirements of Uniform Grant Guidance</w:t>
      </w:r>
    </w:p>
    <w:p w14:paraId="7C952A75" w14:textId="77777777" w:rsidR="006C6C6C" w:rsidRPr="000B43F9" w:rsidRDefault="006C6C6C" w:rsidP="006C6C6C">
      <w:pPr>
        <w:numPr>
          <w:ilvl w:val="0"/>
          <w:numId w:val="14"/>
        </w:numPr>
        <w:rPr>
          <w:b/>
          <w:bCs/>
        </w:rPr>
      </w:pPr>
      <w:r w:rsidRPr="000B43F9">
        <w:rPr>
          <w:bCs/>
        </w:rPr>
        <w:t>Information regarding the date of federal grant payment receipt and the timing of expenditures relative to the receipt of the federal funds.</w:t>
      </w:r>
    </w:p>
    <w:p w14:paraId="018AC9BC" w14:textId="77777777" w:rsidR="006C6C6C" w:rsidRPr="000B43F9" w:rsidRDefault="006C6C6C" w:rsidP="006C6C6C">
      <w:pPr>
        <w:tabs>
          <w:tab w:val="num" w:pos="2160"/>
        </w:tabs>
        <w:ind w:left="1800"/>
        <w:rPr>
          <w:bCs/>
        </w:rPr>
      </w:pPr>
    </w:p>
    <w:p w14:paraId="4469F542" w14:textId="77777777" w:rsidR="006C6C6C" w:rsidRPr="000B43F9" w:rsidRDefault="006C6C6C" w:rsidP="006C6C6C">
      <w:pPr>
        <w:numPr>
          <w:ilvl w:val="1"/>
          <w:numId w:val="1"/>
        </w:numPr>
        <w:tabs>
          <w:tab w:val="num" w:pos="1800"/>
        </w:tabs>
      </w:pPr>
      <w:r w:rsidRPr="000B43F9">
        <w:t>Timing</w:t>
      </w:r>
      <w:r w:rsidRPr="000B43F9">
        <w:br/>
      </w:r>
    </w:p>
    <w:p w14:paraId="2FF2B527" w14:textId="77777777" w:rsidR="006C6C6C" w:rsidRPr="000B43F9" w:rsidRDefault="006C6C6C" w:rsidP="006C6C6C">
      <w:pPr>
        <w:ind w:left="1080"/>
        <w:rPr>
          <w:b/>
        </w:rPr>
      </w:pPr>
      <w:r w:rsidRPr="000B43F9">
        <w:t>While cash advances are permitted, federal regulations require that the timing and amount of cash advances shall be as close as is administratively feasible to the actual disbursements by the recipient organization.  It is the Organization’s policy to ensure the following prior to requesting a cash advance:</w:t>
      </w:r>
    </w:p>
    <w:p w14:paraId="0D1C65C0" w14:textId="77777777" w:rsidR="006C6C6C" w:rsidRPr="000B43F9" w:rsidRDefault="006C6C6C" w:rsidP="006C6C6C">
      <w:pPr>
        <w:tabs>
          <w:tab w:val="num" w:pos="1800"/>
        </w:tabs>
        <w:ind w:left="1440"/>
        <w:rPr>
          <w:b/>
        </w:rPr>
      </w:pPr>
    </w:p>
    <w:p w14:paraId="15781C4B" w14:textId="77777777" w:rsidR="006C6C6C" w:rsidRPr="000B43F9" w:rsidRDefault="006C6C6C" w:rsidP="006C6C6C">
      <w:pPr>
        <w:numPr>
          <w:ilvl w:val="2"/>
          <w:numId w:val="20"/>
        </w:numPr>
        <w:rPr>
          <w:b/>
        </w:rPr>
      </w:pPr>
      <w:r w:rsidRPr="000B43F9">
        <w:t>The draw is the minimum amount needed</w:t>
      </w:r>
    </w:p>
    <w:p w14:paraId="3BE21CCC" w14:textId="77777777" w:rsidR="006C6C6C" w:rsidRPr="000B43F9" w:rsidRDefault="006C6C6C" w:rsidP="006C6C6C">
      <w:pPr>
        <w:numPr>
          <w:ilvl w:val="2"/>
          <w:numId w:val="20"/>
        </w:numPr>
        <w:rPr>
          <w:b/>
        </w:rPr>
      </w:pPr>
      <w:r w:rsidRPr="000B43F9">
        <w:t>The draw is timed in accordance with actual, immediate cash requirements</w:t>
      </w:r>
    </w:p>
    <w:p w14:paraId="6C7796BF" w14:textId="77777777" w:rsidR="006C6C6C" w:rsidRPr="000B43F9" w:rsidRDefault="006C6C6C" w:rsidP="006C6C6C">
      <w:pPr>
        <w:numPr>
          <w:ilvl w:val="2"/>
          <w:numId w:val="20"/>
        </w:numPr>
        <w:rPr>
          <w:b/>
        </w:rPr>
      </w:pPr>
      <w:r w:rsidRPr="000B43F9">
        <w:t xml:space="preserve">That the draw is not done any earlier than necessary to </w:t>
      </w:r>
      <w:proofErr w:type="gramStart"/>
      <w:r w:rsidRPr="000B43F9">
        <w:t>actually make</w:t>
      </w:r>
      <w:proofErr w:type="gramEnd"/>
      <w:r w:rsidRPr="000B43F9">
        <w:t xml:space="preserve"> the payment.  The distinction is also that the timing is based on when the expenditures will be paid and not when the expenditure is accrued.</w:t>
      </w:r>
    </w:p>
    <w:p w14:paraId="42DF1905" w14:textId="77777777" w:rsidR="006C6C6C" w:rsidRPr="000B43F9" w:rsidRDefault="006C6C6C" w:rsidP="006C6C6C">
      <w:pPr>
        <w:numPr>
          <w:ilvl w:val="2"/>
          <w:numId w:val="20"/>
        </w:numPr>
        <w:rPr>
          <w:b/>
        </w:rPr>
      </w:pPr>
      <w:r w:rsidRPr="000B43F9">
        <w:t>If the previous requirements cannot be met, then it is the Organization’s policy to request federal cash payments after disbursements for expenditures have been made.</w:t>
      </w:r>
    </w:p>
    <w:p w14:paraId="03CFA392" w14:textId="77777777" w:rsidR="006C6C6C" w:rsidRPr="000B43F9" w:rsidRDefault="006C6C6C" w:rsidP="006C6C6C">
      <w:pPr>
        <w:numPr>
          <w:ilvl w:val="2"/>
          <w:numId w:val="20"/>
        </w:numPr>
        <w:rPr>
          <w:b/>
        </w:rPr>
      </w:pPr>
      <w:r w:rsidRPr="000B43F9">
        <w:t>The draws will not be made to alleviate cash flow problems within the Organization</w:t>
      </w:r>
    </w:p>
    <w:p w14:paraId="4FC2C7D8" w14:textId="77777777" w:rsidR="006C6C6C" w:rsidRPr="000B43F9" w:rsidRDefault="006C6C6C" w:rsidP="006C6C6C">
      <w:pPr>
        <w:ind w:left="360"/>
        <w:rPr>
          <w:b/>
        </w:rPr>
      </w:pPr>
    </w:p>
    <w:p w14:paraId="7E797EF5" w14:textId="77777777" w:rsidR="006C6C6C" w:rsidRPr="000B43F9" w:rsidRDefault="006C6C6C" w:rsidP="006C6C6C">
      <w:pPr>
        <w:numPr>
          <w:ilvl w:val="1"/>
          <w:numId w:val="1"/>
        </w:numPr>
        <w:tabs>
          <w:tab w:val="num" w:pos="1800"/>
        </w:tabs>
      </w:pPr>
      <w:r w:rsidRPr="000B43F9">
        <w:t>Method</w:t>
      </w:r>
    </w:p>
    <w:p w14:paraId="160886E0" w14:textId="77777777" w:rsidR="006C6C6C" w:rsidRPr="000B43F9" w:rsidRDefault="006C6C6C" w:rsidP="006C6C6C">
      <w:pPr>
        <w:ind w:left="1440"/>
        <w:rPr>
          <w:b/>
        </w:rPr>
      </w:pPr>
    </w:p>
    <w:p w14:paraId="602AFB3E" w14:textId="77777777" w:rsidR="006C6C6C" w:rsidRPr="000B43F9" w:rsidRDefault="006C6C6C" w:rsidP="006C6C6C">
      <w:pPr>
        <w:ind w:left="1080"/>
        <w:rPr>
          <w:b/>
          <w:bCs/>
        </w:rPr>
      </w:pPr>
      <w:r w:rsidRPr="000B43F9">
        <w:rPr>
          <w:bCs/>
        </w:rPr>
        <w:t xml:space="preserve">The preferred method of reimbursement is through electronic fund transfer if available.  Requests for draws through the federal payment management system will follow the steps and processes outlined with the system.  If the draw is not through the federal payment management </w:t>
      </w:r>
      <w:proofErr w:type="gramStart"/>
      <w:r w:rsidRPr="000B43F9">
        <w:rPr>
          <w:bCs/>
        </w:rPr>
        <w:t>system</w:t>
      </w:r>
      <w:proofErr w:type="gramEnd"/>
      <w:r w:rsidRPr="000B43F9">
        <w:rPr>
          <w:bCs/>
        </w:rPr>
        <w:t xml:space="preserve"> then the draw should be done consistent with the terms of the grant and the processes required by the awarding agency.</w:t>
      </w:r>
    </w:p>
    <w:p w14:paraId="6BF55861" w14:textId="77777777" w:rsidR="006C6C6C" w:rsidRPr="000B43F9" w:rsidRDefault="006C6C6C" w:rsidP="006C6C6C">
      <w:pPr>
        <w:ind w:left="720"/>
      </w:pPr>
    </w:p>
    <w:p w14:paraId="3E4C7FCB" w14:textId="77777777" w:rsidR="006C6C6C" w:rsidRPr="000B43F9" w:rsidRDefault="006C6C6C" w:rsidP="006C6C6C">
      <w:pPr>
        <w:numPr>
          <w:ilvl w:val="1"/>
          <w:numId w:val="1"/>
        </w:numPr>
      </w:pPr>
      <w:r w:rsidRPr="000B43F9">
        <w:lastRenderedPageBreak/>
        <w:t>Oversight and Monitoring</w:t>
      </w:r>
      <w:r w:rsidRPr="000B43F9">
        <w:br/>
        <w:t xml:space="preserve">  </w:t>
      </w:r>
    </w:p>
    <w:p w14:paraId="17CF60A5" w14:textId="77777777" w:rsidR="006C6C6C" w:rsidRPr="000B43F9" w:rsidRDefault="006C6C6C" w:rsidP="006C6C6C">
      <w:pPr>
        <w:ind w:left="1080"/>
        <w:rPr>
          <w:b/>
        </w:rPr>
      </w:pPr>
      <w:r w:rsidRPr="000B43F9">
        <w:t>The initial grant draw request and support for expenditures will be prepared by POSITION and submitted to POSITION for review and approval.</w:t>
      </w:r>
    </w:p>
    <w:p w14:paraId="09BB61E0" w14:textId="77777777" w:rsidR="006C6C6C" w:rsidRPr="000B43F9" w:rsidRDefault="006C6C6C" w:rsidP="006C6C6C">
      <w:pPr>
        <w:ind w:left="1080"/>
      </w:pPr>
    </w:p>
    <w:p w14:paraId="74A6903C" w14:textId="77777777" w:rsidR="006C6C6C" w:rsidRPr="000B43F9" w:rsidRDefault="006C6C6C" w:rsidP="006C6C6C">
      <w:pPr>
        <w:autoSpaceDE w:val="0"/>
        <w:autoSpaceDN w:val="0"/>
        <w:adjustRightInd w:val="0"/>
        <w:ind w:left="245"/>
        <w:rPr>
          <w:b/>
        </w:rPr>
      </w:pPr>
    </w:p>
    <w:p w14:paraId="34F8410A" w14:textId="77777777" w:rsidR="008356A9" w:rsidRPr="000B43F9" w:rsidRDefault="008356A9" w:rsidP="006C6C6C">
      <w:pPr>
        <w:rPr>
          <w:b/>
          <w:i/>
        </w:rPr>
      </w:pPr>
    </w:p>
    <w:sectPr w:rsidR="008356A9" w:rsidRPr="000B43F9" w:rsidSect="008D056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4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D82CC" w14:textId="77777777" w:rsidR="00782869" w:rsidRDefault="00782869" w:rsidP="000974D9">
      <w:r>
        <w:separator/>
      </w:r>
    </w:p>
  </w:endnote>
  <w:endnote w:type="continuationSeparator" w:id="0">
    <w:p w14:paraId="123E8839" w14:textId="77777777" w:rsidR="00782869" w:rsidRDefault="00782869" w:rsidP="0009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A7A6" w14:textId="77777777" w:rsidR="000B43F9" w:rsidRDefault="000B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A779B" w14:textId="77777777" w:rsidR="000974D9" w:rsidRPr="000B43F9" w:rsidRDefault="000974D9" w:rsidP="000974D9">
    <w:pPr>
      <w:pStyle w:val="Footer"/>
      <w:rPr>
        <w:i/>
      </w:rPr>
    </w:pPr>
    <w:bookmarkStart w:id="0" w:name="_GoBack"/>
    <w:r w:rsidRPr="000B43F9">
      <w:rPr>
        <w:i/>
      </w:rPr>
      <w:t>This sample is for illustrative and educational purposes only.  Its use may not be appropriate for your circumstance.</w:t>
    </w:r>
  </w:p>
  <w:bookmarkEnd w:id="0"/>
  <w:p w14:paraId="0FAB2A83" w14:textId="77777777" w:rsidR="000974D9" w:rsidRDefault="000974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9A11" w14:textId="77777777" w:rsidR="000B43F9" w:rsidRDefault="000B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3DE32" w14:textId="77777777" w:rsidR="00782869" w:rsidRDefault="00782869" w:rsidP="000974D9">
      <w:r>
        <w:separator/>
      </w:r>
    </w:p>
  </w:footnote>
  <w:footnote w:type="continuationSeparator" w:id="0">
    <w:p w14:paraId="47F1624D" w14:textId="77777777" w:rsidR="00782869" w:rsidRDefault="00782869" w:rsidP="0009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F9AE4" w14:textId="77777777" w:rsidR="000B43F9" w:rsidRDefault="000B4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BE4CE" w14:textId="77777777" w:rsidR="00F52335" w:rsidRDefault="00F52335" w:rsidP="00F52335">
    <w:pPr>
      <w:pStyle w:val="Header"/>
    </w:pPr>
  </w:p>
  <w:p w14:paraId="39A58795" w14:textId="77777777" w:rsidR="00F52335" w:rsidRDefault="00F52335">
    <w:pPr>
      <w:pStyle w:val="Header"/>
    </w:pPr>
  </w:p>
  <w:p w14:paraId="1E4F2351" w14:textId="77777777" w:rsidR="000974D9" w:rsidRDefault="000974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E7B2D" w14:textId="77777777" w:rsidR="00F52335" w:rsidRDefault="006C6C6C" w:rsidP="00F52335">
    <w:pPr>
      <w:pStyle w:val="Header"/>
    </w:pPr>
    <w:r>
      <w:rPr>
        <w:noProof/>
      </w:rPr>
      <mc:AlternateContent>
        <mc:Choice Requires="wps">
          <w:drawing>
            <wp:anchor distT="45720" distB="45720" distL="114300" distR="114300" simplePos="0" relativeHeight="251661312" behindDoc="0" locked="0" layoutInCell="1" allowOverlap="1" wp14:anchorId="6852A82F" wp14:editId="460AF5C1">
              <wp:simplePos x="0" y="0"/>
              <wp:positionH relativeFrom="column">
                <wp:posOffset>1838325</wp:posOffset>
              </wp:positionH>
              <wp:positionV relativeFrom="page">
                <wp:posOffset>447675</wp:posOffset>
              </wp:positionV>
              <wp:extent cx="4552950" cy="3714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371475"/>
                      </a:xfrm>
                      <a:prstGeom prst="rect">
                        <a:avLst/>
                      </a:prstGeom>
                      <a:noFill/>
                      <a:ln w="9525">
                        <a:noFill/>
                        <a:miter lim="800000"/>
                        <a:headEnd/>
                        <a:tailEnd/>
                      </a:ln>
                    </wps:spPr>
                    <wps:txbx>
                      <w:txbxContent>
                        <w:p w14:paraId="7F85A418" w14:textId="77777777" w:rsidR="00326885" w:rsidRPr="000B43F9" w:rsidRDefault="00326885" w:rsidP="00326885">
                          <w:pPr>
                            <w:jc w:val="right"/>
                            <w:rPr>
                              <w:b/>
                              <w:color w:val="FFFFFF"/>
                              <w:sz w:val="32"/>
                              <w:szCs w:val="32"/>
                            </w:rPr>
                          </w:pPr>
                          <w:r w:rsidRPr="000B43F9">
                            <w:rPr>
                              <w:color w:val="FFFFFF"/>
                              <w:sz w:val="32"/>
                              <w:szCs w:val="32"/>
                            </w:rPr>
                            <w:t>Policy Agreement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52A82F" id="_x0000_t202" coordsize="21600,21600" o:spt="202" path="m,l,21600r21600,l21600,xe">
              <v:stroke joinstyle="miter"/>
              <v:path gradientshapeok="t" o:connecttype="rect"/>
            </v:shapetype>
            <v:shape id="Text Box 2" o:spid="_x0000_s1026" type="#_x0000_t202" style="position:absolute;margin-left:144.75pt;margin-top:35.25pt;width:358.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" filled="f" stroked="f">
              <v:textbox>
                <w:txbxContent>
                  <w:p w14:paraId="7F85A418" w14:textId="77777777" w:rsidR="00326885" w:rsidRPr="000B43F9" w:rsidRDefault="00326885" w:rsidP="00326885">
                    <w:pPr>
                      <w:jc w:val="right"/>
                      <w:rPr>
                        <w:b/>
                        <w:color w:val="FFFFFF"/>
                        <w:sz w:val="32"/>
                        <w:szCs w:val="32"/>
                      </w:rPr>
                    </w:pPr>
                    <w:r w:rsidRPr="000B43F9">
                      <w:rPr>
                        <w:color w:val="FFFFFF"/>
                        <w:sz w:val="32"/>
                        <w:szCs w:val="32"/>
                      </w:rPr>
                      <w:t>Policy Agreement</w:t>
                    </w:r>
                  </w:p>
                </w:txbxContent>
              </v:textbox>
              <w10:wrap anchory="page"/>
            </v:shape>
          </w:pict>
        </mc:Fallback>
      </mc:AlternateContent>
    </w:r>
    <w:r>
      <w:rPr>
        <w:noProof/>
      </w:rPr>
      <w:drawing>
        <wp:anchor distT="0" distB="0" distL="114300" distR="114300" simplePos="0" relativeHeight="251659264" behindDoc="1" locked="0" layoutInCell="1" allowOverlap="1" wp14:anchorId="2D82CF6C" wp14:editId="0E5C21B4">
          <wp:simplePos x="0" y="0"/>
          <wp:positionH relativeFrom="page">
            <wp:posOffset>0</wp:posOffset>
          </wp:positionH>
          <wp:positionV relativeFrom="page">
            <wp:posOffset>0</wp:posOffset>
          </wp:positionV>
          <wp:extent cx="77724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E84431" w14:textId="77777777" w:rsidR="000974D9" w:rsidRDefault="0009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B6617"/>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442AD2"/>
    <w:multiLevelType w:val="hybridMultilevel"/>
    <w:tmpl w:val="F27E6F0A"/>
    <w:lvl w:ilvl="0" w:tplc="B9EAE634">
      <w:start w:val="1"/>
      <w:numFmt w:val="lowerRoman"/>
      <w:lvlText w:val="%1."/>
      <w:lvlJc w:val="left"/>
      <w:pPr>
        <w:ind w:left="2160" w:hanging="360"/>
      </w:pPr>
      <w:rPr>
        <w:rFonts w:ascii="Arial" w:hAnsi="Arial" w:cs="Arial" w:hint="default"/>
        <w:b w:val="0"/>
        <w:i w:val="0"/>
        <w:sz w:val="24"/>
        <w:szCs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DDE39FC"/>
    <w:multiLevelType w:val="hybridMultilevel"/>
    <w:tmpl w:val="5A8866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75060"/>
    <w:multiLevelType w:val="hybridMultilevel"/>
    <w:tmpl w:val="9FCE20B8"/>
    <w:lvl w:ilvl="0" w:tplc="A9E09666">
      <w:start w:val="5"/>
      <w:numFmt w:val="lowerLetter"/>
      <w:lvlText w:val="%1."/>
      <w:lvlJc w:val="left"/>
      <w:pPr>
        <w:tabs>
          <w:tab w:val="num" w:pos="1560"/>
        </w:tabs>
        <w:ind w:left="1560" w:hanging="360"/>
      </w:pPr>
      <w:rPr>
        <w:rFonts w:cs="Times New Roman" w:hint="default"/>
      </w:rPr>
    </w:lvl>
    <w:lvl w:ilvl="1" w:tplc="01C669DA">
      <w:start w:val="1"/>
      <w:numFmt w:val="lowerRoman"/>
      <w:lvlText w:val="%2."/>
      <w:lvlJc w:val="left"/>
      <w:pPr>
        <w:tabs>
          <w:tab w:val="num" w:pos="1260"/>
        </w:tabs>
        <w:ind w:left="1260" w:hanging="180"/>
      </w:pPr>
      <w:rPr>
        <w:rFonts w:cs="Times New Roman" w:hint="default"/>
      </w:rPr>
    </w:lvl>
    <w:lvl w:ilvl="2" w:tplc="C45229D0">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A6A7B37"/>
    <w:multiLevelType w:val="singleLevel"/>
    <w:tmpl w:val="A35A5774"/>
    <w:lvl w:ilvl="0">
      <w:start w:val="1"/>
      <w:numFmt w:val="decimal"/>
      <w:lvlText w:val="%1."/>
      <w:lvlJc w:val="left"/>
      <w:pPr>
        <w:tabs>
          <w:tab w:val="num" w:pos="1800"/>
        </w:tabs>
        <w:ind w:left="1800" w:hanging="360"/>
      </w:pPr>
    </w:lvl>
  </w:abstractNum>
  <w:abstractNum w:abstractNumId="5" w15:restartNumberingAfterBreak="0">
    <w:nsid w:val="1AD76CF4"/>
    <w:multiLevelType w:val="multilevel"/>
    <w:tmpl w:val="CE9CBA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0A6F59"/>
    <w:multiLevelType w:val="hybridMultilevel"/>
    <w:tmpl w:val="0840D862"/>
    <w:lvl w:ilvl="0" w:tplc="04090011">
      <w:start w:val="1"/>
      <w:numFmt w:val="decimal"/>
      <w:lvlText w:val="%1)"/>
      <w:lvlJc w:val="left"/>
      <w:pPr>
        <w:tabs>
          <w:tab w:val="num" w:pos="720"/>
        </w:tabs>
        <w:ind w:left="720" w:hanging="360"/>
      </w:pPr>
      <w:rPr>
        <w:rFonts w:hint="default"/>
      </w:rPr>
    </w:lvl>
    <w:lvl w:ilvl="1" w:tplc="A5B49D8C">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FC10C9"/>
    <w:multiLevelType w:val="hybridMultilevel"/>
    <w:tmpl w:val="225699DA"/>
    <w:lvl w:ilvl="0" w:tplc="A8E0247E">
      <w:start w:val="5"/>
      <w:numFmt w:val="decimal"/>
      <w:lvlText w:val="%1."/>
      <w:lvlJc w:val="left"/>
      <w:pPr>
        <w:tabs>
          <w:tab w:val="num" w:pos="2340"/>
        </w:tabs>
        <w:ind w:left="2340" w:hanging="360"/>
      </w:pPr>
      <w:rPr>
        <w:rFonts w:ascii="Arial" w:hAnsi="Arial" w:cs="Times New Roman" w:hint="default"/>
        <w:b/>
        <w:i w:val="0"/>
      </w:rPr>
    </w:lvl>
    <w:lvl w:ilvl="1" w:tplc="7DD28692">
      <w:start w:val="1"/>
      <w:numFmt w:val="lowerLetter"/>
      <w:lvlText w:val="%2."/>
      <w:lvlJc w:val="left"/>
      <w:pPr>
        <w:tabs>
          <w:tab w:val="num" w:pos="1080"/>
        </w:tabs>
        <w:ind w:left="1080"/>
      </w:pPr>
      <w:rPr>
        <w:rFonts w:ascii="Arial" w:hAnsi="Arial" w:cs="Times New Roman" w:hint="default"/>
        <w:b w:val="0"/>
        <w:i w:val="0"/>
        <w:sz w:val="24"/>
        <w:szCs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B9E52E7"/>
    <w:multiLevelType w:val="hybridMultilevel"/>
    <w:tmpl w:val="66CC1A6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9EAE634">
      <w:start w:val="1"/>
      <w:numFmt w:val="lowerRoman"/>
      <w:lvlText w:val="%3."/>
      <w:lvlJc w:val="left"/>
      <w:pPr>
        <w:tabs>
          <w:tab w:val="num" w:pos="2160"/>
        </w:tabs>
        <w:ind w:left="2160" w:hanging="180"/>
      </w:pPr>
      <w:rPr>
        <w:rFonts w:ascii="Arial" w:hAnsi="Arial" w:cs="Arial"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247679"/>
    <w:multiLevelType w:val="hybridMultilevel"/>
    <w:tmpl w:val="1F58CF58"/>
    <w:lvl w:ilvl="0" w:tplc="7FC4E902">
      <w:start w:val="1"/>
      <w:numFmt w:val="lowerRoman"/>
      <w:lvlText w:val="%1."/>
      <w:lvlJc w:val="left"/>
      <w:pPr>
        <w:tabs>
          <w:tab w:val="num" w:pos="5040"/>
        </w:tabs>
        <w:ind w:left="5040" w:hanging="3960"/>
      </w:pPr>
      <w:rPr>
        <w:rFonts w:ascii="Arial" w:hAnsi="Arial" w:cs="Arial" w:hint="default"/>
        <w:b w:val="0"/>
        <w:i w:val="0"/>
        <w:sz w:val="24"/>
        <w:szCs w:val="24"/>
      </w:rPr>
    </w:lvl>
    <w:lvl w:ilvl="1" w:tplc="C520FCAC">
      <w:start w:val="4"/>
      <w:numFmt w:val="lowerLetter"/>
      <w:lvlText w:val="%2."/>
      <w:lvlJc w:val="left"/>
      <w:pPr>
        <w:tabs>
          <w:tab w:val="num" w:pos="1440"/>
        </w:tabs>
        <w:ind w:left="1440" w:hanging="360"/>
      </w:pPr>
      <w:rPr>
        <w:rFonts w:cs="Times New Roman" w:hint="default"/>
        <w:b w:val="0"/>
        <w:i w:val="0"/>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3A7FDD"/>
    <w:multiLevelType w:val="hybridMultilevel"/>
    <w:tmpl w:val="6EFE6532"/>
    <w:lvl w:ilvl="0" w:tplc="B9EAE634">
      <w:start w:val="1"/>
      <w:numFmt w:val="lowerRoman"/>
      <w:lvlText w:val="%1."/>
      <w:lvlJc w:val="left"/>
      <w:pPr>
        <w:tabs>
          <w:tab w:val="num" w:pos="5040"/>
        </w:tabs>
        <w:ind w:left="5040" w:hanging="3960"/>
      </w:pPr>
      <w:rPr>
        <w:rFonts w:ascii="Arial" w:hAnsi="Arial" w:cs="Arial" w:hint="default"/>
        <w:b w:val="0"/>
        <w:i w:val="0"/>
        <w:sz w:val="24"/>
        <w:szCs w:val="24"/>
      </w:rPr>
    </w:lvl>
    <w:lvl w:ilvl="1" w:tplc="77B86EEE">
      <w:start w:val="2"/>
      <w:numFmt w:val="lowerLetter"/>
      <w:lvlText w:val="%2."/>
      <w:lvlJc w:val="left"/>
      <w:pPr>
        <w:tabs>
          <w:tab w:val="num" w:pos="1440"/>
        </w:tabs>
        <w:ind w:left="1440" w:hanging="360"/>
      </w:pPr>
      <w:rPr>
        <w:rFonts w:cs="Times New Roman" w:hint="default"/>
        <w:b w:val="0"/>
        <w:i w:val="0"/>
        <w:sz w:val="24"/>
        <w:szCs w:val="24"/>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DA610CA"/>
    <w:multiLevelType w:val="multilevel"/>
    <w:tmpl w:val="0409001D"/>
    <w:numStyleLink w:val="1ai"/>
  </w:abstractNum>
  <w:abstractNum w:abstractNumId="12" w15:restartNumberingAfterBreak="0">
    <w:nsid w:val="4EF25F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77163E0"/>
    <w:multiLevelType w:val="hybridMultilevel"/>
    <w:tmpl w:val="9CEC9A80"/>
    <w:lvl w:ilvl="0" w:tplc="04090003">
      <w:start w:val="1"/>
      <w:numFmt w:val="bullet"/>
      <w:lvlText w:val="o"/>
      <w:lvlJc w:val="left"/>
      <w:pPr>
        <w:tabs>
          <w:tab w:val="num" w:pos="1224"/>
        </w:tabs>
        <w:ind w:left="1224" w:hanging="360"/>
      </w:pPr>
      <w:rPr>
        <w:rFonts w:ascii="Courier New" w:hAnsi="Courier New" w:cs="Courier New"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4" w15:restartNumberingAfterBreak="0">
    <w:nsid w:val="5EFD64A1"/>
    <w:multiLevelType w:val="hybridMultilevel"/>
    <w:tmpl w:val="8098D7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997EE4"/>
    <w:multiLevelType w:val="multilevel"/>
    <w:tmpl w:val="4C00F73C"/>
    <w:lvl w:ilvl="0">
      <w:start w:val="1"/>
      <w:numFmt w:val="upperRoman"/>
      <w:pStyle w:val="Heading1"/>
      <w:lvlText w:val="%1."/>
      <w:lvlJc w:val="left"/>
      <w:pPr>
        <w:tabs>
          <w:tab w:val="num" w:pos="360"/>
        </w:tabs>
        <w:ind w:left="0" w:firstLine="0"/>
      </w:pPr>
      <w:rPr>
        <w:rFonts w:ascii="Times New Roman Bold" w:hAnsi="Times New Roman Bold" w:hint="default"/>
        <w:b/>
        <w:i/>
        <w:sz w:val="24"/>
      </w:rPr>
    </w:lvl>
    <w:lvl w:ilvl="1">
      <w:start w:val="1"/>
      <w:numFmt w:val="upperLetter"/>
      <w:pStyle w:val="Heading2"/>
      <w:lvlText w:val="%2."/>
      <w:lvlJc w:val="left"/>
      <w:pPr>
        <w:tabs>
          <w:tab w:val="num" w:pos="504"/>
        </w:tabs>
        <w:ind w:left="504" w:firstLine="0"/>
      </w:pPr>
      <w:rPr>
        <w:rFonts w:asciiTheme="minorHAnsi" w:hAnsiTheme="minorHAnsi" w:cstheme="minorHAnsi" w:hint="default"/>
        <w:sz w:val="24"/>
      </w:rPr>
    </w:lvl>
    <w:lvl w:ilvl="2">
      <w:start w:val="1"/>
      <w:numFmt w:val="decimal"/>
      <w:pStyle w:val="Heading3"/>
      <w:lvlText w:val="%3."/>
      <w:lvlJc w:val="left"/>
      <w:pPr>
        <w:tabs>
          <w:tab w:val="num" w:pos="1008"/>
        </w:tabs>
        <w:ind w:left="1008" w:firstLine="0"/>
      </w:pPr>
      <w:rPr>
        <w:rFonts w:ascii="Times New Roman" w:hAnsi="Times New Roman" w:hint="default"/>
        <w:sz w:val="24"/>
      </w:rPr>
    </w:lvl>
    <w:lvl w:ilvl="3">
      <w:start w:val="1"/>
      <w:numFmt w:val="lowerLetter"/>
      <w:pStyle w:val="Heading4"/>
      <w:lvlText w:val="%4)"/>
      <w:lvlJc w:val="left"/>
      <w:pPr>
        <w:tabs>
          <w:tab w:val="num" w:pos="1512"/>
        </w:tabs>
        <w:ind w:left="1512" w:firstLine="0"/>
      </w:pPr>
      <w:rPr>
        <w:rFonts w:ascii="Times New Roman" w:hAnsi="Times New Roman" w:hint="default"/>
        <w:sz w:val="24"/>
      </w:rPr>
    </w:lvl>
    <w:lvl w:ilvl="4">
      <w:start w:val="1"/>
      <w:numFmt w:val="decimal"/>
      <w:pStyle w:val="Heading5"/>
      <w:lvlText w:val="(%5)"/>
      <w:lvlJc w:val="left"/>
      <w:pPr>
        <w:tabs>
          <w:tab w:val="num" w:pos="2016"/>
        </w:tabs>
        <w:ind w:left="2016" w:firstLine="0"/>
      </w:pPr>
      <w:rPr>
        <w:rFonts w:ascii="Times New Roman" w:hAnsi="Times New Roman" w:hint="default"/>
        <w:sz w:val="24"/>
      </w:rPr>
    </w:lvl>
    <w:lvl w:ilvl="5">
      <w:start w:val="1"/>
      <w:numFmt w:val="lowerLetter"/>
      <w:pStyle w:val="Heading6"/>
      <w:lvlText w:val="(%6)"/>
      <w:lvlJc w:val="left"/>
      <w:pPr>
        <w:tabs>
          <w:tab w:val="num" w:pos="2520"/>
        </w:tabs>
        <w:ind w:left="2520" w:firstLine="0"/>
      </w:pPr>
      <w:rPr>
        <w:rFonts w:ascii="Times New Roman" w:hAnsi="Times New Roman" w:hint="default"/>
        <w:sz w:val="24"/>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15:restartNumberingAfterBreak="0">
    <w:nsid w:val="6E347F30"/>
    <w:multiLevelType w:val="hybridMultilevel"/>
    <w:tmpl w:val="76DC6F0A"/>
    <w:lvl w:ilvl="0" w:tplc="487891CC">
      <w:start w:val="3"/>
      <w:numFmt w:val="lowerLetter"/>
      <w:lvlText w:val="%1."/>
      <w:lvlJc w:val="left"/>
      <w:pPr>
        <w:tabs>
          <w:tab w:val="num" w:pos="1560"/>
        </w:tabs>
        <w:ind w:left="15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B655F9"/>
    <w:multiLevelType w:val="hybridMultilevel"/>
    <w:tmpl w:val="91BC7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5"/>
  </w:num>
  <w:num w:numId="3">
    <w:abstractNumId w:val="11"/>
  </w:num>
  <w:num w:numId="4">
    <w:abstractNumId w:val="12"/>
  </w:num>
  <w:num w:numId="5">
    <w:abstractNumId w:val="10"/>
  </w:num>
  <w:num w:numId="6">
    <w:abstractNumId w:val="16"/>
  </w:num>
  <w:num w:numId="7">
    <w:abstractNumId w:val="9"/>
  </w:num>
  <w:num w:numId="8">
    <w:abstractNumId w:val="3"/>
  </w:num>
  <w:num w:numId="9">
    <w:abstractNumId w:val="7"/>
  </w:num>
  <w:num w:numId="10">
    <w:abstractNumId w:val="5"/>
  </w:num>
  <w:num w:numId="11">
    <w:abstractNumId w:val="13"/>
  </w:num>
  <w:num w:numId="12">
    <w:abstractNumId w:val="15"/>
  </w:num>
  <w:num w:numId="13">
    <w:abstractNumId w:val="0"/>
  </w:num>
  <w:num w:numId="14">
    <w:abstractNumId w:val="1"/>
  </w:num>
  <w:num w:numId="15">
    <w:abstractNumId w:val="4"/>
    <w:lvlOverride w:ilvl="0">
      <w:startOverride w:val="1"/>
    </w:lvlOverride>
  </w:num>
  <w:num w:numId="16">
    <w:abstractNumId w:val="15"/>
  </w:num>
  <w:num w:numId="17">
    <w:abstractNumId w:val="15"/>
  </w:num>
  <w:num w:numId="18">
    <w:abstractNumId w:val="14"/>
  </w:num>
  <w:num w:numId="19">
    <w:abstractNumId w:val="17"/>
  </w:num>
  <w:num w:numId="20">
    <w:abstractNumId w:val="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DA"/>
    <w:rsid w:val="00004788"/>
    <w:rsid w:val="00010EEA"/>
    <w:rsid w:val="000239A8"/>
    <w:rsid w:val="00042DBD"/>
    <w:rsid w:val="00062463"/>
    <w:rsid w:val="000742B3"/>
    <w:rsid w:val="000974D9"/>
    <w:rsid w:val="000B43F9"/>
    <w:rsid w:val="000C21A1"/>
    <w:rsid w:val="000F0B9D"/>
    <w:rsid w:val="00114F59"/>
    <w:rsid w:val="00157A62"/>
    <w:rsid w:val="00157DC5"/>
    <w:rsid w:val="001F7476"/>
    <w:rsid w:val="00204EF0"/>
    <w:rsid w:val="00250D34"/>
    <w:rsid w:val="002C1B1B"/>
    <w:rsid w:val="003122E4"/>
    <w:rsid w:val="00326885"/>
    <w:rsid w:val="00384E8E"/>
    <w:rsid w:val="00406D04"/>
    <w:rsid w:val="004123D5"/>
    <w:rsid w:val="00436B92"/>
    <w:rsid w:val="004432AB"/>
    <w:rsid w:val="004533D7"/>
    <w:rsid w:val="00465B74"/>
    <w:rsid w:val="004A2B3D"/>
    <w:rsid w:val="004C18B8"/>
    <w:rsid w:val="004E0562"/>
    <w:rsid w:val="004F0115"/>
    <w:rsid w:val="00566688"/>
    <w:rsid w:val="00566C3C"/>
    <w:rsid w:val="005C2BF6"/>
    <w:rsid w:val="006003D8"/>
    <w:rsid w:val="00603E08"/>
    <w:rsid w:val="006069B0"/>
    <w:rsid w:val="0063281C"/>
    <w:rsid w:val="0065383E"/>
    <w:rsid w:val="00660D32"/>
    <w:rsid w:val="00680A52"/>
    <w:rsid w:val="006B0981"/>
    <w:rsid w:val="006C6C6C"/>
    <w:rsid w:val="00723C31"/>
    <w:rsid w:val="00762ADB"/>
    <w:rsid w:val="00782869"/>
    <w:rsid w:val="007B6F4C"/>
    <w:rsid w:val="008356A9"/>
    <w:rsid w:val="00841BD0"/>
    <w:rsid w:val="00882084"/>
    <w:rsid w:val="008D0569"/>
    <w:rsid w:val="008D10FA"/>
    <w:rsid w:val="00907130"/>
    <w:rsid w:val="00933468"/>
    <w:rsid w:val="00970BC3"/>
    <w:rsid w:val="00997068"/>
    <w:rsid w:val="009A7828"/>
    <w:rsid w:val="009B66A2"/>
    <w:rsid w:val="009D26EC"/>
    <w:rsid w:val="009D3963"/>
    <w:rsid w:val="009E2A52"/>
    <w:rsid w:val="00A129F8"/>
    <w:rsid w:val="00A31795"/>
    <w:rsid w:val="00A91178"/>
    <w:rsid w:val="00A973D4"/>
    <w:rsid w:val="00AB3937"/>
    <w:rsid w:val="00B06A3F"/>
    <w:rsid w:val="00B16EAD"/>
    <w:rsid w:val="00B340DA"/>
    <w:rsid w:val="00B80D65"/>
    <w:rsid w:val="00BA0A60"/>
    <w:rsid w:val="00BA109C"/>
    <w:rsid w:val="00BB32FB"/>
    <w:rsid w:val="00BC4475"/>
    <w:rsid w:val="00BD2F7F"/>
    <w:rsid w:val="00BF2628"/>
    <w:rsid w:val="00C37A34"/>
    <w:rsid w:val="00C60E4F"/>
    <w:rsid w:val="00C6151D"/>
    <w:rsid w:val="00C85989"/>
    <w:rsid w:val="00CC5907"/>
    <w:rsid w:val="00CC6711"/>
    <w:rsid w:val="00CD29A1"/>
    <w:rsid w:val="00D144EC"/>
    <w:rsid w:val="00D42DE7"/>
    <w:rsid w:val="00D9519C"/>
    <w:rsid w:val="00DA3C12"/>
    <w:rsid w:val="00DC0CF2"/>
    <w:rsid w:val="00DC55E6"/>
    <w:rsid w:val="00DF4A23"/>
    <w:rsid w:val="00E12DC3"/>
    <w:rsid w:val="00E273AB"/>
    <w:rsid w:val="00E540C1"/>
    <w:rsid w:val="00E9783F"/>
    <w:rsid w:val="00EE319B"/>
    <w:rsid w:val="00F276BA"/>
    <w:rsid w:val="00F52335"/>
    <w:rsid w:val="00F96E16"/>
    <w:rsid w:val="00FB0DE9"/>
    <w:rsid w:val="00FC6826"/>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E71F16A"/>
  <w15:chartTrackingRefBased/>
  <w15:docId w15:val="{93EB3EE1-65F9-4E24-A588-F0A6FD9F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340DA"/>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340DA"/>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B340DA"/>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340DA"/>
    <w:pPr>
      <w:keepNext/>
      <w:numPr>
        <w:ilvl w:val="3"/>
        <w:numId w:val="2"/>
      </w:numPr>
      <w:spacing w:before="240" w:after="60"/>
      <w:outlineLvl w:val="3"/>
    </w:pPr>
    <w:rPr>
      <w:b/>
      <w:bCs/>
      <w:sz w:val="28"/>
      <w:szCs w:val="28"/>
    </w:rPr>
  </w:style>
  <w:style w:type="paragraph" w:styleId="Heading5">
    <w:name w:val="heading 5"/>
    <w:basedOn w:val="Normal"/>
    <w:next w:val="Normal"/>
    <w:qFormat/>
    <w:rsid w:val="00B340DA"/>
    <w:pPr>
      <w:numPr>
        <w:ilvl w:val="4"/>
        <w:numId w:val="2"/>
      </w:numPr>
      <w:spacing w:before="240" w:after="60"/>
      <w:outlineLvl w:val="4"/>
    </w:pPr>
    <w:rPr>
      <w:b/>
      <w:bCs/>
      <w:i/>
      <w:iCs/>
      <w:sz w:val="26"/>
      <w:szCs w:val="26"/>
    </w:rPr>
  </w:style>
  <w:style w:type="paragraph" w:styleId="Heading6">
    <w:name w:val="heading 6"/>
    <w:basedOn w:val="Normal"/>
    <w:next w:val="Normal"/>
    <w:qFormat/>
    <w:rsid w:val="00B340DA"/>
    <w:pPr>
      <w:numPr>
        <w:ilvl w:val="5"/>
        <w:numId w:val="2"/>
      </w:numPr>
      <w:spacing w:before="240" w:after="60"/>
      <w:outlineLvl w:val="5"/>
    </w:pPr>
    <w:rPr>
      <w:b/>
      <w:bCs/>
      <w:sz w:val="22"/>
      <w:szCs w:val="22"/>
    </w:rPr>
  </w:style>
  <w:style w:type="paragraph" w:styleId="Heading7">
    <w:name w:val="heading 7"/>
    <w:basedOn w:val="Normal"/>
    <w:next w:val="Normal"/>
    <w:qFormat/>
    <w:rsid w:val="00B340DA"/>
    <w:pPr>
      <w:numPr>
        <w:ilvl w:val="6"/>
        <w:numId w:val="2"/>
      </w:numPr>
      <w:spacing w:before="240" w:after="60"/>
      <w:outlineLvl w:val="6"/>
    </w:pPr>
  </w:style>
  <w:style w:type="paragraph" w:styleId="Heading8">
    <w:name w:val="heading 8"/>
    <w:basedOn w:val="Normal"/>
    <w:next w:val="Normal"/>
    <w:qFormat/>
    <w:rsid w:val="00B340DA"/>
    <w:pPr>
      <w:numPr>
        <w:ilvl w:val="7"/>
        <w:numId w:val="2"/>
      </w:numPr>
      <w:spacing w:before="240" w:after="60"/>
      <w:outlineLvl w:val="7"/>
    </w:pPr>
    <w:rPr>
      <w:i/>
      <w:iCs/>
    </w:rPr>
  </w:style>
  <w:style w:type="paragraph" w:styleId="Heading9">
    <w:name w:val="heading 9"/>
    <w:basedOn w:val="Normal"/>
    <w:next w:val="Normal"/>
    <w:qFormat/>
    <w:rsid w:val="00B340D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B340DA"/>
    <w:pPr>
      <w:numPr>
        <w:numId w:val="4"/>
      </w:numPr>
    </w:pPr>
  </w:style>
  <w:style w:type="paragraph" w:styleId="PlainText">
    <w:name w:val="Plain Text"/>
    <w:basedOn w:val="Normal"/>
    <w:rsid w:val="009D26EC"/>
    <w:rPr>
      <w:rFonts w:ascii="Courier" w:hAnsi="Courier"/>
      <w:szCs w:val="20"/>
    </w:rPr>
  </w:style>
  <w:style w:type="paragraph" w:styleId="Header">
    <w:name w:val="header"/>
    <w:basedOn w:val="Normal"/>
    <w:link w:val="HeaderChar"/>
    <w:rsid w:val="000974D9"/>
    <w:pPr>
      <w:tabs>
        <w:tab w:val="center" w:pos="4680"/>
        <w:tab w:val="right" w:pos="9360"/>
      </w:tabs>
    </w:pPr>
  </w:style>
  <w:style w:type="character" w:customStyle="1" w:styleId="HeaderChar">
    <w:name w:val="Header Char"/>
    <w:link w:val="Header"/>
    <w:rsid w:val="000974D9"/>
    <w:rPr>
      <w:sz w:val="24"/>
      <w:szCs w:val="24"/>
    </w:rPr>
  </w:style>
  <w:style w:type="paragraph" w:styleId="Footer">
    <w:name w:val="footer"/>
    <w:basedOn w:val="Normal"/>
    <w:link w:val="FooterChar"/>
    <w:rsid w:val="000974D9"/>
    <w:pPr>
      <w:tabs>
        <w:tab w:val="center" w:pos="4680"/>
        <w:tab w:val="right" w:pos="9360"/>
      </w:tabs>
    </w:pPr>
  </w:style>
  <w:style w:type="character" w:customStyle="1" w:styleId="FooterChar">
    <w:name w:val="Footer Char"/>
    <w:link w:val="Footer"/>
    <w:rsid w:val="000974D9"/>
    <w:rPr>
      <w:sz w:val="24"/>
      <w:szCs w:val="24"/>
    </w:rPr>
  </w:style>
  <w:style w:type="paragraph" w:styleId="ListParagraph">
    <w:name w:val="List Paragraph"/>
    <w:basedOn w:val="Normal"/>
    <w:uiPriority w:val="34"/>
    <w:qFormat/>
    <w:rsid w:val="006C6C6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954</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Procurement Policy</vt:lpstr>
    </vt:vector>
  </TitlesOfParts>
  <Company>BKD, LLP</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Policy</dc:title>
  <dc:subject/>
  <dc:creator>Administrator</dc:creator>
  <cp:keywords/>
  <dc:description/>
  <cp:lastModifiedBy>Gilpin, Catherine</cp:lastModifiedBy>
  <cp:revision>5</cp:revision>
  <dcterms:created xsi:type="dcterms:W3CDTF">2020-02-26T18:37:00Z</dcterms:created>
  <dcterms:modified xsi:type="dcterms:W3CDTF">2020-11-25T15:37:00Z</dcterms:modified>
</cp:coreProperties>
</file>